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18" w:rsidRDefault="00D21118" w:rsidP="00710D97">
      <w:pPr>
        <w:tabs>
          <w:tab w:val="left" w:pos="1080"/>
        </w:tabs>
        <w:ind w:left="1080" w:right="7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262EC">
        <w:rPr>
          <w:rFonts w:ascii="Arial" w:hAnsi="Arial" w:cs="Arial"/>
          <w:b/>
          <w:sz w:val="24"/>
          <w:szCs w:val="24"/>
        </w:rPr>
        <w:t xml:space="preserve"> </w:t>
      </w:r>
    </w:p>
    <w:p w:rsidR="00D21118" w:rsidRPr="009C2A1F" w:rsidRDefault="00184162" w:rsidP="00710D97">
      <w:pPr>
        <w:tabs>
          <w:tab w:val="left" w:pos="1080"/>
        </w:tabs>
        <w:ind w:left="1080" w:right="720"/>
        <w:jc w:val="both"/>
        <w:rPr>
          <w:rFonts w:cstheme="minorHAnsi"/>
          <w:sz w:val="24"/>
          <w:szCs w:val="24"/>
        </w:rPr>
      </w:pPr>
      <w:r w:rsidRPr="00184162">
        <w:rPr>
          <w:rFonts w:cstheme="minorHAnsi"/>
          <w:noProof/>
          <w:sz w:val="24"/>
          <w:szCs w:val="24"/>
        </w:rPr>
        <w:drawing>
          <wp:anchor distT="0" distB="0" distL="114300" distR="114300" simplePos="0" relativeHeight="251658240" behindDoc="1" locked="0" layoutInCell="1" allowOverlap="1">
            <wp:simplePos x="0" y="0"/>
            <wp:positionH relativeFrom="column">
              <wp:posOffset>6381750</wp:posOffset>
            </wp:positionH>
            <wp:positionV relativeFrom="paragraph">
              <wp:posOffset>226695</wp:posOffset>
            </wp:positionV>
            <wp:extent cx="495300" cy="379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118" w:rsidRPr="009C2A1F">
        <w:rPr>
          <w:rFonts w:cstheme="minorHAnsi"/>
          <w:b/>
          <w:sz w:val="24"/>
          <w:szCs w:val="24"/>
        </w:rPr>
        <w:t>To:</w:t>
      </w:r>
      <w:r w:rsidR="00D21118" w:rsidRPr="009C2A1F">
        <w:rPr>
          <w:rFonts w:cstheme="minorHAnsi"/>
          <w:b/>
          <w:sz w:val="24"/>
          <w:szCs w:val="24"/>
        </w:rPr>
        <w:tab/>
        <w:t xml:space="preserve"> </w:t>
      </w:r>
      <w:r w:rsidR="009C2A1F" w:rsidRPr="009C2A1F">
        <w:rPr>
          <w:rFonts w:cstheme="minorHAnsi"/>
          <w:b/>
          <w:sz w:val="24"/>
          <w:szCs w:val="24"/>
        </w:rPr>
        <w:tab/>
      </w:r>
      <w:r w:rsidR="00377226">
        <w:rPr>
          <w:rFonts w:cstheme="minorHAnsi"/>
          <w:sz w:val="24"/>
          <w:szCs w:val="24"/>
        </w:rPr>
        <w:t>Board of Directors</w:t>
      </w:r>
      <w:r w:rsidR="00377226">
        <w:rPr>
          <w:rFonts w:cstheme="minorHAnsi"/>
          <w:sz w:val="24"/>
          <w:szCs w:val="24"/>
        </w:rPr>
        <w:tab/>
      </w:r>
      <w:r w:rsidR="00377226">
        <w:rPr>
          <w:rFonts w:cstheme="minorHAnsi"/>
          <w:sz w:val="24"/>
          <w:szCs w:val="24"/>
        </w:rPr>
        <w:tab/>
      </w:r>
      <w:r w:rsidR="00377226">
        <w:rPr>
          <w:rFonts w:cstheme="minorHAnsi"/>
          <w:sz w:val="24"/>
          <w:szCs w:val="24"/>
        </w:rPr>
        <w:tab/>
      </w:r>
      <w:r w:rsidR="00D134CF">
        <w:rPr>
          <w:rFonts w:cstheme="minorHAnsi"/>
          <w:sz w:val="24"/>
          <w:szCs w:val="24"/>
        </w:rPr>
        <w:tab/>
      </w:r>
      <w:r w:rsidR="00D134CF">
        <w:rPr>
          <w:rFonts w:cstheme="minorHAnsi"/>
          <w:sz w:val="24"/>
          <w:szCs w:val="24"/>
        </w:rPr>
        <w:tab/>
      </w:r>
      <w:r w:rsidR="00DF711D">
        <w:rPr>
          <w:rFonts w:cstheme="minorHAnsi"/>
          <w:sz w:val="24"/>
          <w:szCs w:val="24"/>
        </w:rPr>
        <w:tab/>
      </w:r>
      <w:r w:rsidR="00C66FA6">
        <w:rPr>
          <w:rFonts w:cstheme="minorHAnsi"/>
          <w:sz w:val="24"/>
          <w:szCs w:val="24"/>
        </w:rPr>
        <w:tab/>
      </w:r>
      <w:r w:rsidR="00D21118" w:rsidRPr="009C2A1F">
        <w:rPr>
          <w:rFonts w:cstheme="minorHAnsi"/>
          <w:b/>
          <w:sz w:val="24"/>
          <w:szCs w:val="24"/>
        </w:rPr>
        <w:t>Date:</w:t>
      </w:r>
      <w:r w:rsidR="00D21118" w:rsidRPr="009C2A1F">
        <w:rPr>
          <w:rFonts w:cstheme="minorHAnsi"/>
          <w:sz w:val="24"/>
          <w:szCs w:val="24"/>
        </w:rPr>
        <w:t xml:space="preserve"> </w:t>
      </w:r>
      <w:r w:rsidR="00377226">
        <w:rPr>
          <w:rFonts w:cstheme="minorHAnsi"/>
          <w:sz w:val="24"/>
          <w:szCs w:val="24"/>
        </w:rPr>
        <w:t>08/02</w:t>
      </w:r>
      <w:r w:rsidR="00263459">
        <w:rPr>
          <w:rFonts w:cstheme="minorHAnsi"/>
          <w:sz w:val="24"/>
          <w:szCs w:val="24"/>
        </w:rPr>
        <w:t>/2019</w:t>
      </w:r>
    </w:p>
    <w:p w:rsidR="00D21118" w:rsidRPr="009C2A1F" w:rsidRDefault="00FD23BA" w:rsidP="00710D97">
      <w:pPr>
        <w:ind w:left="1080" w:right="720"/>
        <w:jc w:val="both"/>
        <w:rPr>
          <w:rFonts w:cstheme="minorHAnsi"/>
          <w:sz w:val="24"/>
          <w:szCs w:val="24"/>
        </w:rPr>
      </w:pPr>
      <w:r>
        <w:rPr>
          <w:rFonts w:cstheme="minorHAnsi"/>
          <w:b/>
          <w:sz w:val="24"/>
          <w:szCs w:val="24"/>
        </w:rPr>
        <w:t>From:</w:t>
      </w:r>
      <w:r>
        <w:rPr>
          <w:rFonts w:cstheme="minorHAnsi"/>
          <w:b/>
          <w:sz w:val="24"/>
          <w:szCs w:val="24"/>
        </w:rPr>
        <w:tab/>
      </w:r>
      <w:r w:rsidR="00A8550B">
        <w:rPr>
          <w:rFonts w:cstheme="minorHAnsi"/>
          <w:sz w:val="24"/>
          <w:szCs w:val="24"/>
        </w:rPr>
        <w:t>Ruby</w:t>
      </w:r>
      <w:r w:rsidR="00C66FA6">
        <w:rPr>
          <w:rFonts w:cstheme="minorHAnsi"/>
          <w:sz w:val="24"/>
          <w:szCs w:val="24"/>
        </w:rPr>
        <w:t xml:space="preserve"> Horta – Director of Planning, </w:t>
      </w:r>
      <w:r w:rsidR="00A8550B">
        <w:rPr>
          <w:rFonts w:cstheme="minorHAnsi"/>
          <w:sz w:val="24"/>
          <w:szCs w:val="24"/>
        </w:rPr>
        <w:t>Marketing</w:t>
      </w:r>
      <w:r w:rsidR="00C66FA6">
        <w:rPr>
          <w:rFonts w:cstheme="minorHAnsi"/>
          <w:sz w:val="24"/>
          <w:szCs w:val="24"/>
        </w:rPr>
        <w:t xml:space="preserve"> &amp; Innovation </w:t>
      </w:r>
      <w:r w:rsidR="00D21118" w:rsidRPr="009C2A1F">
        <w:rPr>
          <w:rFonts w:cstheme="minorHAnsi"/>
          <w:sz w:val="24"/>
          <w:szCs w:val="24"/>
        </w:rPr>
        <w:tab/>
      </w:r>
      <w:r w:rsidR="00D21118" w:rsidRPr="009C2A1F">
        <w:rPr>
          <w:rFonts w:cstheme="minorHAnsi"/>
          <w:b/>
          <w:sz w:val="24"/>
          <w:szCs w:val="24"/>
        </w:rPr>
        <w:t>Reviewed by</w:t>
      </w:r>
      <w:r w:rsidR="00D21118" w:rsidRPr="009C2A1F">
        <w:rPr>
          <w:rFonts w:cstheme="minorHAnsi"/>
          <w:sz w:val="24"/>
          <w:szCs w:val="24"/>
        </w:rPr>
        <w:t>:</w:t>
      </w:r>
      <w:r w:rsidR="00BE522D" w:rsidRPr="00BE522D">
        <w:rPr>
          <w:rFonts w:cstheme="minorHAnsi"/>
          <w:sz w:val="24"/>
          <w:szCs w:val="24"/>
        </w:rPr>
        <w:t xml:space="preserve"> </w:t>
      </w:r>
      <w:r w:rsidR="007A03C4">
        <w:rPr>
          <w:rFonts w:cstheme="minorHAnsi"/>
          <w:sz w:val="24"/>
          <w:szCs w:val="24"/>
        </w:rPr>
        <w:pict>
          <v:rect id="_x0000_i1025" style="width:7in;height:1.5pt" o:hralign="center" o:hrstd="t" o:hrnoshade="t" o:hr="t" fillcolor="black [3213]" stroked="f"/>
        </w:pict>
      </w:r>
    </w:p>
    <w:p w:rsidR="00D21118" w:rsidRPr="008941A0" w:rsidRDefault="00D21118" w:rsidP="00710D97">
      <w:pPr>
        <w:tabs>
          <w:tab w:val="left" w:pos="10800"/>
        </w:tabs>
        <w:autoSpaceDE w:val="0"/>
        <w:autoSpaceDN w:val="0"/>
        <w:adjustRightInd w:val="0"/>
        <w:spacing w:after="0" w:line="240" w:lineRule="auto"/>
        <w:ind w:left="1080" w:right="810"/>
        <w:jc w:val="both"/>
        <w:rPr>
          <w:rFonts w:cstheme="minorHAnsi"/>
          <w:b/>
          <w:sz w:val="24"/>
          <w:szCs w:val="24"/>
        </w:rPr>
      </w:pPr>
      <w:r w:rsidRPr="009C2A1F">
        <w:rPr>
          <w:rFonts w:cstheme="minorHAnsi"/>
          <w:b/>
          <w:sz w:val="24"/>
          <w:szCs w:val="24"/>
        </w:rPr>
        <w:t>SUBJECT</w:t>
      </w:r>
      <w:r w:rsidR="00E86F6E">
        <w:rPr>
          <w:rFonts w:cstheme="minorHAnsi"/>
          <w:b/>
          <w:sz w:val="24"/>
          <w:szCs w:val="24"/>
        </w:rPr>
        <w:t xml:space="preserve">: </w:t>
      </w:r>
      <w:r w:rsidR="00A8550B">
        <w:rPr>
          <w:rFonts w:cstheme="minorHAnsi"/>
          <w:b/>
          <w:sz w:val="24"/>
          <w:szCs w:val="24"/>
        </w:rPr>
        <w:t xml:space="preserve">Battery Electric Bus </w:t>
      </w:r>
      <w:r w:rsidR="0065755F">
        <w:rPr>
          <w:rFonts w:cstheme="minorHAnsi"/>
          <w:b/>
          <w:sz w:val="24"/>
          <w:szCs w:val="24"/>
        </w:rPr>
        <w:t xml:space="preserve">(BEB) </w:t>
      </w:r>
      <w:r w:rsidR="00967990">
        <w:rPr>
          <w:rFonts w:cstheme="minorHAnsi"/>
          <w:b/>
          <w:sz w:val="24"/>
          <w:szCs w:val="24"/>
        </w:rPr>
        <w:t xml:space="preserve">FY 2018-2019 </w:t>
      </w:r>
      <w:r w:rsidR="00A8550B">
        <w:rPr>
          <w:rFonts w:cstheme="minorHAnsi"/>
          <w:b/>
          <w:sz w:val="24"/>
          <w:szCs w:val="24"/>
        </w:rPr>
        <w:t>Update</w:t>
      </w:r>
      <w:r w:rsidR="007A03C4">
        <w:rPr>
          <w:rFonts w:cstheme="minorHAnsi"/>
          <w:sz w:val="24"/>
          <w:szCs w:val="24"/>
        </w:rPr>
        <w:pict>
          <v:rect id="_x0000_i1026" style="width:7in;height:1.5pt" o:hralign="center" o:hrstd="t" o:hrnoshade="t" o:hr="t" fillcolor="black [3213]" stroked="f"/>
        </w:pict>
      </w:r>
    </w:p>
    <w:p w:rsidR="00D21118" w:rsidRPr="009C2A1F" w:rsidRDefault="00D21118" w:rsidP="00710D97">
      <w:pPr>
        <w:ind w:left="3510" w:right="810" w:hanging="2070"/>
        <w:jc w:val="both"/>
        <w:rPr>
          <w:rFonts w:cstheme="minorHAnsi"/>
          <w:b/>
          <w:sz w:val="24"/>
          <w:szCs w:val="24"/>
        </w:rPr>
      </w:pPr>
      <w:r w:rsidRPr="009C2A1F">
        <w:rPr>
          <w:rFonts w:cstheme="minorHAnsi"/>
          <w:b/>
          <w:sz w:val="24"/>
          <w:szCs w:val="24"/>
        </w:rPr>
        <w:t xml:space="preserve">Background:  </w:t>
      </w:r>
    </w:p>
    <w:p w:rsidR="00A8550B" w:rsidRDefault="00A8550B"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County Connection received two federal gran</w:t>
      </w:r>
      <w:r w:rsidR="000A4DC9">
        <w:rPr>
          <w:rFonts w:cstheme="minorHAnsi"/>
          <w:sz w:val="24"/>
          <w:szCs w:val="24"/>
        </w:rPr>
        <w:t>ts to purchase</w:t>
      </w:r>
      <w:r>
        <w:rPr>
          <w:rFonts w:cstheme="minorHAnsi"/>
          <w:sz w:val="24"/>
          <w:szCs w:val="24"/>
        </w:rPr>
        <w:t xml:space="preserve"> electric buses</w:t>
      </w:r>
      <w:r w:rsidR="007D2BD8">
        <w:rPr>
          <w:rFonts w:cstheme="minorHAnsi"/>
          <w:sz w:val="24"/>
          <w:szCs w:val="24"/>
        </w:rPr>
        <w:t>.</w:t>
      </w:r>
      <w:r>
        <w:rPr>
          <w:rFonts w:cstheme="minorHAnsi"/>
          <w:sz w:val="24"/>
          <w:szCs w:val="24"/>
        </w:rPr>
        <w:t xml:space="preserve">  The 2012 Clean Fuels grant </w:t>
      </w:r>
      <w:r w:rsidR="0065755F">
        <w:rPr>
          <w:rFonts w:cstheme="minorHAnsi"/>
          <w:sz w:val="24"/>
          <w:szCs w:val="24"/>
        </w:rPr>
        <w:t xml:space="preserve">and the 2016 Low/No grant to purchase eight battery electric buses (BEBs) and the necessary charging infrastructure.  All eight BEBs operate in Walnut Creek on Routes 4 and 5. Two inductive chargers </w:t>
      </w:r>
      <w:proofErr w:type="gramStart"/>
      <w:r w:rsidR="0065755F">
        <w:rPr>
          <w:rFonts w:cstheme="minorHAnsi"/>
          <w:sz w:val="24"/>
          <w:szCs w:val="24"/>
        </w:rPr>
        <w:t>have been installed</w:t>
      </w:r>
      <w:proofErr w:type="gramEnd"/>
      <w:r w:rsidR="0065755F">
        <w:rPr>
          <w:rFonts w:cstheme="minorHAnsi"/>
          <w:sz w:val="24"/>
          <w:szCs w:val="24"/>
        </w:rPr>
        <w:t xml:space="preserve"> at the new Walnut Creek Transit Village to support the continuous operations on these two routes.  </w:t>
      </w:r>
    </w:p>
    <w:p w:rsidR="003010EC" w:rsidRPr="00F84BC5" w:rsidRDefault="00F84BC5" w:rsidP="00710D97">
      <w:pPr>
        <w:autoSpaceDE w:val="0"/>
        <w:autoSpaceDN w:val="0"/>
        <w:adjustRightInd w:val="0"/>
        <w:spacing w:line="240" w:lineRule="auto"/>
        <w:ind w:left="1440" w:right="720"/>
        <w:jc w:val="both"/>
        <w:rPr>
          <w:rFonts w:cstheme="minorHAnsi"/>
          <w:sz w:val="24"/>
          <w:szCs w:val="24"/>
        </w:rPr>
      </w:pPr>
      <w:r w:rsidRPr="00F84BC5">
        <w:rPr>
          <w:rFonts w:cstheme="minorHAnsi"/>
          <w:b/>
          <w:sz w:val="24"/>
          <w:szCs w:val="24"/>
        </w:rPr>
        <w:t>Maintenance</w:t>
      </w:r>
      <w:r w:rsidR="009D2FA2">
        <w:rPr>
          <w:rFonts w:cstheme="minorHAnsi"/>
          <w:b/>
          <w:sz w:val="24"/>
          <w:szCs w:val="24"/>
        </w:rPr>
        <w:t xml:space="preserve"> and Operations</w:t>
      </w:r>
      <w:r w:rsidR="007D2BD8" w:rsidRPr="00F84BC5">
        <w:rPr>
          <w:rFonts w:cstheme="minorHAnsi"/>
          <w:b/>
          <w:sz w:val="24"/>
          <w:szCs w:val="24"/>
        </w:rPr>
        <w:t>:</w:t>
      </w:r>
    </w:p>
    <w:p w:rsidR="00F36C95" w:rsidRDefault="00F84BC5"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The first four electric buses (trolleys) were introduced to the fleet in December 2016</w:t>
      </w:r>
      <w:r w:rsidR="00967990">
        <w:rPr>
          <w:rFonts w:cstheme="minorHAnsi"/>
          <w:sz w:val="24"/>
          <w:szCs w:val="24"/>
        </w:rPr>
        <w:t xml:space="preserve"> </w:t>
      </w:r>
      <w:r w:rsidR="001A3D55">
        <w:rPr>
          <w:rFonts w:cstheme="minorHAnsi"/>
          <w:sz w:val="24"/>
          <w:szCs w:val="24"/>
        </w:rPr>
        <w:t xml:space="preserve">(1600 series) </w:t>
      </w:r>
      <w:r w:rsidR="00967990">
        <w:rPr>
          <w:rFonts w:cstheme="minorHAnsi"/>
          <w:sz w:val="24"/>
          <w:szCs w:val="24"/>
        </w:rPr>
        <w:t>and the second set in May 2018</w:t>
      </w:r>
      <w:r w:rsidR="001A3D55">
        <w:rPr>
          <w:rFonts w:cstheme="minorHAnsi"/>
          <w:sz w:val="24"/>
          <w:szCs w:val="24"/>
        </w:rPr>
        <w:t xml:space="preserve"> (1800 series)</w:t>
      </w:r>
      <w:r>
        <w:rPr>
          <w:rFonts w:cstheme="minorHAnsi"/>
          <w:sz w:val="24"/>
          <w:szCs w:val="24"/>
        </w:rPr>
        <w:t xml:space="preserve">.  </w:t>
      </w:r>
      <w:r w:rsidR="00967990">
        <w:rPr>
          <w:rFonts w:cstheme="minorHAnsi"/>
          <w:sz w:val="24"/>
          <w:szCs w:val="24"/>
        </w:rPr>
        <w:t xml:space="preserve">The electric trolley </w:t>
      </w:r>
      <w:r>
        <w:rPr>
          <w:rFonts w:cstheme="minorHAnsi"/>
          <w:sz w:val="24"/>
          <w:szCs w:val="24"/>
        </w:rPr>
        <w:t>project</w:t>
      </w:r>
      <w:r w:rsidR="00967990">
        <w:rPr>
          <w:rFonts w:cstheme="minorHAnsi"/>
          <w:sz w:val="24"/>
          <w:szCs w:val="24"/>
        </w:rPr>
        <w:t xml:space="preserve"> was classified as a prototype, to allow</w:t>
      </w:r>
      <w:r>
        <w:rPr>
          <w:rFonts w:cstheme="minorHAnsi"/>
          <w:sz w:val="24"/>
          <w:szCs w:val="24"/>
        </w:rPr>
        <w:t xml:space="preserve"> County Connection to keep three (3) of the old diesel trolleys.  This arrangement provided the protection needed to ensure service </w:t>
      </w:r>
      <w:proofErr w:type="gramStart"/>
      <w:r>
        <w:rPr>
          <w:rFonts w:cstheme="minorHAnsi"/>
          <w:sz w:val="24"/>
          <w:szCs w:val="24"/>
        </w:rPr>
        <w:t>would not be interrupted</w:t>
      </w:r>
      <w:proofErr w:type="gramEnd"/>
      <w:r>
        <w:rPr>
          <w:rFonts w:cstheme="minorHAnsi"/>
          <w:sz w:val="24"/>
          <w:szCs w:val="24"/>
        </w:rPr>
        <w:t xml:space="preserve"> </w:t>
      </w:r>
      <w:r w:rsidR="00F9722B">
        <w:rPr>
          <w:rFonts w:cstheme="minorHAnsi"/>
          <w:sz w:val="24"/>
          <w:szCs w:val="24"/>
        </w:rPr>
        <w:t xml:space="preserve">on Route 4 </w:t>
      </w:r>
      <w:r>
        <w:rPr>
          <w:rFonts w:cstheme="minorHAnsi"/>
          <w:sz w:val="24"/>
          <w:szCs w:val="24"/>
        </w:rPr>
        <w:t xml:space="preserve">while the electric trolleys were tested. </w:t>
      </w:r>
    </w:p>
    <w:p w:rsidR="00996A04" w:rsidRDefault="00996A04"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 xml:space="preserve">In the initial months, the </w:t>
      </w:r>
      <w:r w:rsidR="00967990">
        <w:rPr>
          <w:rFonts w:cstheme="minorHAnsi"/>
          <w:sz w:val="24"/>
          <w:szCs w:val="24"/>
        </w:rPr>
        <w:t>electric</w:t>
      </w:r>
      <w:r>
        <w:rPr>
          <w:rFonts w:cstheme="minorHAnsi"/>
          <w:sz w:val="24"/>
          <w:szCs w:val="24"/>
        </w:rPr>
        <w:t xml:space="preserve"> trolleys </w:t>
      </w:r>
      <w:r w:rsidR="00967990">
        <w:rPr>
          <w:rFonts w:cstheme="minorHAnsi"/>
          <w:sz w:val="24"/>
          <w:szCs w:val="24"/>
        </w:rPr>
        <w:t xml:space="preserve">were not as reliable and diesel trolleys </w:t>
      </w:r>
      <w:proofErr w:type="gramStart"/>
      <w:r w:rsidR="00967990">
        <w:rPr>
          <w:rFonts w:cstheme="minorHAnsi"/>
          <w:sz w:val="24"/>
          <w:szCs w:val="24"/>
        </w:rPr>
        <w:t>were used</w:t>
      </w:r>
      <w:proofErr w:type="gramEnd"/>
      <w:r w:rsidR="00967990">
        <w:rPr>
          <w:rFonts w:cstheme="minorHAnsi"/>
          <w:sz w:val="24"/>
          <w:szCs w:val="24"/>
        </w:rPr>
        <w:t xml:space="preserve"> to cover service</w:t>
      </w:r>
      <w:r>
        <w:rPr>
          <w:rFonts w:cstheme="minorHAnsi"/>
          <w:sz w:val="24"/>
          <w:szCs w:val="24"/>
        </w:rPr>
        <w:t xml:space="preserve">. </w:t>
      </w:r>
      <w:r w:rsidR="00967990">
        <w:rPr>
          <w:rFonts w:cstheme="minorHAnsi"/>
          <w:sz w:val="24"/>
          <w:szCs w:val="24"/>
        </w:rPr>
        <w:t>O</w:t>
      </w:r>
      <w:r>
        <w:rPr>
          <w:rFonts w:cstheme="minorHAnsi"/>
          <w:sz w:val="24"/>
          <w:szCs w:val="24"/>
        </w:rPr>
        <w:t xml:space="preserve">ver time, the need for the reserve diesel trolleys decreased as the electric trolleys </w:t>
      </w:r>
      <w:r w:rsidR="00967990">
        <w:rPr>
          <w:rFonts w:cstheme="minorHAnsi"/>
          <w:sz w:val="24"/>
          <w:szCs w:val="24"/>
        </w:rPr>
        <w:t>beca</w:t>
      </w:r>
      <w:r>
        <w:rPr>
          <w:rFonts w:cstheme="minorHAnsi"/>
          <w:sz w:val="24"/>
          <w:szCs w:val="24"/>
        </w:rPr>
        <w:t>me more reliable</w:t>
      </w:r>
      <w:r w:rsidR="001A3D55">
        <w:rPr>
          <w:rFonts w:cstheme="minorHAnsi"/>
          <w:sz w:val="24"/>
          <w:szCs w:val="24"/>
        </w:rPr>
        <w:t xml:space="preserve"> and the 1800 series increased the electric bus spare ratio</w:t>
      </w:r>
      <w:r>
        <w:rPr>
          <w:rFonts w:cstheme="minorHAnsi"/>
          <w:sz w:val="24"/>
          <w:szCs w:val="24"/>
        </w:rPr>
        <w:t xml:space="preserve">.  The chart </w:t>
      </w:r>
      <w:r w:rsidR="001A3D55">
        <w:rPr>
          <w:rFonts w:cstheme="minorHAnsi"/>
          <w:sz w:val="24"/>
          <w:szCs w:val="24"/>
        </w:rPr>
        <w:t>on the following page</w:t>
      </w:r>
      <w:r>
        <w:rPr>
          <w:rFonts w:cstheme="minorHAnsi"/>
          <w:sz w:val="24"/>
          <w:szCs w:val="24"/>
        </w:rPr>
        <w:t xml:space="preserve"> compares total miles between the 2003 diesel trolleys and the electric </w:t>
      </w:r>
      <w:r w:rsidR="001A3D55">
        <w:rPr>
          <w:rFonts w:cstheme="minorHAnsi"/>
          <w:sz w:val="24"/>
          <w:szCs w:val="24"/>
        </w:rPr>
        <w:t>buses</w:t>
      </w:r>
      <w:r>
        <w:rPr>
          <w:rFonts w:cstheme="minorHAnsi"/>
          <w:sz w:val="24"/>
          <w:szCs w:val="24"/>
        </w:rPr>
        <w:t xml:space="preserve">.  </w:t>
      </w:r>
      <w:r w:rsidR="0065755F">
        <w:rPr>
          <w:rFonts w:cstheme="minorHAnsi"/>
          <w:sz w:val="24"/>
          <w:szCs w:val="24"/>
        </w:rPr>
        <w:t xml:space="preserve">The diesel </w:t>
      </w:r>
      <w:r w:rsidR="001A3D55">
        <w:rPr>
          <w:rFonts w:cstheme="minorHAnsi"/>
          <w:sz w:val="24"/>
          <w:szCs w:val="24"/>
        </w:rPr>
        <w:t xml:space="preserve">trolleys </w:t>
      </w:r>
      <w:proofErr w:type="gramStart"/>
      <w:r w:rsidR="001A3D55">
        <w:rPr>
          <w:rFonts w:cstheme="minorHAnsi"/>
          <w:sz w:val="24"/>
          <w:szCs w:val="24"/>
        </w:rPr>
        <w:t>were</w:t>
      </w:r>
      <w:r w:rsidR="0065755F">
        <w:rPr>
          <w:rFonts w:cstheme="minorHAnsi"/>
          <w:sz w:val="24"/>
          <w:szCs w:val="24"/>
        </w:rPr>
        <w:t xml:space="preserve"> removed</w:t>
      </w:r>
      <w:proofErr w:type="gramEnd"/>
      <w:r w:rsidR="0065755F">
        <w:rPr>
          <w:rFonts w:cstheme="minorHAnsi"/>
          <w:sz w:val="24"/>
          <w:szCs w:val="24"/>
        </w:rPr>
        <w:t xml:space="preserve"> from the fleet </w:t>
      </w:r>
      <w:r w:rsidR="0065755F" w:rsidRPr="004F7F6E">
        <w:rPr>
          <w:rFonts w:cstheme="minorHAnsi"/>
          <w:sz w:val="24"/>
          <w:szCs w:val="24"/>
        </w:rPr>
        <w:t xml:space="preserve">in </w:t>
      </w:r>
      <w:r w:rsidR="001A3D55" w:rsidRPr="004F7F6E">
        <w:rPr>
          <w:rFonts w:cstheme="minorHAnsi"/>
          <w:sz w:val="24"/>
          <w:szCs w:val="24"/>
        </w:rPr>
        <w:t>March 2019</w:t>
      </w:r>
      <w:r w:rsidR="0065755F">
        <w:rPr>
          <w:rFonts w:cstheme="minorHAnsi"/>
          <w:sz w:val="24"/>
          <w:szCs w:val="24"/>
        </w:rPr>
        <w:t xml:space="preserve">.  </w:t>
      </w:r>
      <w:r w:rsidR="001A3D55">
        <w:rPr>
          <w:rFonts w:cstheme="minorHAnsi"/>
          <w:sz w:val="24"/>
          <w:szCs w:val="24"/>
        </w:rPr>
        <w:t xml:space="preserve">Since the diesel trolleys </w:t>
      </w:r>
      <w:proofErr w:type="gramStart"/>
      <w:r w:rsidR="001A3D55">
        <w:rPr>
          <w:rFonts w:cstheme="minorHAnsi"/>
          <w:sz w:val="24"/>
          <w:szCs w:val="24"/>
        </w:rPr>
        <w:t>have been removed</w:t>
      </w:r>
      <w:proofErr w:type="gramEnd"/>
      <w:r w:rsidR="001A3D55">
        <w:rPr>
          <w:rFonts w:cstheme="minorHAnsi"/>
          <w:sz w:val="24"/>
          <w:szCs w:val="24"/>
        </w:rPr>
        <w:t xml:space="preserve"> from the fleet, moving forward, staff will use the 2014 diesel buses for comparison purposes.</w:t>
      </w:r>
    </w:p>
    <w:p w:rsidR="007A03C4" w:rsidRDefault="007A03C4"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The following charts provide FY 18-19 data.  Electric bus data is not available for April 2019 since the vehicles could not operate while</w:t>
      </w:r>
      <w:bookmarkStart w:id="0" w:name="_GoBack"/>
      <w:bookmarkEnd w:id="0"/>
      <w:r>
        <w:rPr>
          <w:rFonts w:cstheme="minorHAnsi"/>
          <w:sz w:val="24"/>
          <w:szCs w:val="24"/>
        </w:rPr>
        <w:t xml:space="preserve"> the inductive chargers were being relocated the Walnut Creek BART station.</w:t>
      </w:r>
    </w:p>
    <w:p w:rsidR="00996A04" w:rsidRDefault="00471DD9" w:rsidP="00781CA6">
      <w:pPr>
        <w:autoSpaceDE w:val="0"/>
        <w:autoSpaceDN w:val="0"/>
        <w:adjustRightInd w:val="0"/>
        <w:spacing w:line="240" w:lineRule="auto"/>
        <w:ind w:left="1440" w:right="720"/>
        <w:jc w:val="center"/>
        <w:rPr>
          <w:rFonts w:cstheme="minorHAnsi"/>
          <w:sz w:val="24"/>
          <w:szCs w:val="24"/>
        </w:rPr>
      </w:pPr>
      <w:r>
        <w:rPr>
          <w:noProof/>
        </w:rPr>
        <w:lastRenderedPageBreak/>
        <w:drawing>
          <wp:inline distT="0" distB="0" distL="0" distR="0" wp14:anchorId="220CA807" wp14:editId="6824DB39">
            <wp:extent cx="4457700" cy="26098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A04" w:rsidRDefault="00F36E30"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 xml:space="preserve">Since July 2018, the electric bus reliability has averaged </w:t>
      </w:r>
      <w:r w:rsidR="0057356F">
        <w:rPr>
          <w:rFonts w:cstheme="minorHAnsi"/>
          <w:sz w:val="24"/>
          <w:szCs w:val="24"/>
        </w:rPr>
        <w:t>63%.</w:t>
      </w:r>
      <w:r>
        <w:rPr>
          <w:rFonts w:cstheme="minorHAnsi"/>
          <w:sz w:val="24"/>
          <w:szCs w:val="24"/>
        </w:rPr>
        <w:t xml:space="preserve"> Most of the unreliability is </w:t>
      </w:r>
      <w:r w:rsidR="00996A04" w:rsidRPr="00F354A3">
        <w:rPr>
          <w:rFonts w:cstheme="minorHAnsi"/>
          <w:sz w:val="24"/>
          <w:szCs w:val="24"/>
        </w:rPr>
        <w:t xml:space="preserve">due to failures in the battery </w:t>
      </w:r>
      <w:r w:rsidR="004F7F6E" w:rsidRPr="00F354A3">
        <w:rPr>
          <w:rFonts w:cstheme="minorHAnsi"/>
          <w:sz w:val="24"/>
          <w:szCs w:val="24"/>
        </w:rPr>
        <w:t xml:space="preserve">management </w:t>
      </w:r>
      <w:r w:rsidR="00F354A3" w:rsidRPr="00F354A3">
        <w:rPr>
          <w:rFonts w:cstheme="minorHAnsi"/>
          <w:sz w:val="24"/>
          <w:szCs w:val="24"/>
        </w:rPr>
        <w:t>system</w:t>
      </w:r>
      <w:r w:rsidR="00996A04" w:rsidRPr="00F354A3">
        <w:rPr>
          <w:rFonts w:cstheme="minorHAnsi"/>
          <w:sz w:val="24"/>
          <w:szCs w:val="24"/>
        </w:rPr>
        <w:t xml:space="preserve">. </w:t>
      </w:r>
      <w:r w:rsidR="004F7F6E" w:rsidRPr="00F354A3">
        <w:rPr>
          <w:rFonts w:cstheme="minorHAnsi"/>
          <w:sz w:val="24"/>
          <w:szCs w:val="24"/>
        </w:rPr>
        <w:t xml:space="preserve">Staff </w:t>
      </w:r>
      <w:r w:rsidR="00F354A3" w:rsidRPr="00F354A3">
        <w:rPr>
          <w:rFonts w:cstheme="minorHAnsi"/>
          <w:sz w:val="24"/>
          <w:szCs w:val="24"/>
        </w:rPr>
        <w:t>is working with various partners</w:t>
      </w:r>
      <w:r w:rsidR="004F7F6E" w:rsidRPr="00F354A3">
        <w:rPr>
          <w:rFonts w:cstheme="minorHAnsi"/>
          <w:sz w:val="24"/>
          <w:szCs w:val="24"/>
        </w:rPr>
        <w:t xml:space="preserve"> to </w:t>
      </w:r>
      <w:r w:rsidR="00F354A3" w:rsidRPr="00F354A3">
        <w:rPr>
          <w:rFonts w:cstheme="minorHAnsi"/>
          <w:sz w:val="24"/>
          <w:szCs w:val="24"/>
        </w:rPr>
        <w:t>re</w:t>
      </w:r>
      <w:r w:rsidR="004F7F6E" w:rsidRPr="00F354A3">
        <w:rPr>
          <w:rFonts w:cstheme="minorHAnsi"/>
          <w:sz w:val="24"/>
          <w:szCs w:val="24"/>
        </w:rPr>
        <w:t xml:space="preserve">solve </w:t>
      </w:r>
      <w:r w:rsidR="00F354A3" w:rsidRPr="00F354A3">
        <w:rPr>
          <w:rFonts w:cstheme="minorHAnsi"/>
          <w:sz w:val="24"/>
          <w:szCs w:val="24"/>
        </w:rPr>
        <w:t xml:space="preserve">these </w:t>
      </w:r>
      <w:r w:rsidR="004F7F6E" w:rsidRPr="00F354A3">
        <w:rPr>
          <w:rFonts w:cstheme="minorHAnsi"/>
          <w:sz w:val="24"/>
          <w:szCs w:val="24"/>
        </w:rPr>
        <w:t>issues</w:t>
      </w:r>
      <w:r w:rsidR="00996A04" w:rsidRPr="00F354A3">
        <w:rPr>
          <w:rFonts w:cstheme="minorHAnsi"/>
          <w:sz w:val="24"/>
          <w:szCs w:val="24"/>
        </w:rPr>
        <w:t>.</w:t>
      </w:r>
    </w:p>
    <w:p w:rsidR="001A759F" w:rsidRDefault="003047BF"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 xml:space="preserve">Another important comparison is the number of the road calls mechanics must attend to for each fleet. In this case, we compared the 2014 diesel buses to the </w:t>
      </w:r>
      <w:r w:rsidR="003F6BF4">
        <w:rPr>
          <w:rFonts w:cstheme="minorHAnsi"/>
          <w:sz w:val="24"/>
          <w:szCs w:val="24"/>
        </w:rPr>
        <w:t>electric buses</w:t>
      </w:r>
      <w:r>
        <w:rPr>
          <w:rFonts w:cstheme="minorHAnsi"/>
          <w:sz w:val="24"/>
          <w:szCs w:val="24"/>
        </w:rPr>
        <w:t>.</w:t>
      </w:r>
      <w:r w:rsidR="00F36C95">
        <w:rPr>
          <w:rFonts w:cstheme="minorHAnsi"/>
          <w:sz w:val="24"/>
          <w:szCs w:val="24"/>
        </w:rPr>
        <w:t xml:space="preserve"> </w:t>
      </w:r>
      <w:r>
        <w:rPr>
          <w:rFonts w:cstheme="minorHAnsi"/>
          <w:sz w:val="24"/>
          <w:szCs w:val="24"/>
        </w:rPr>
        <w:t>The diesel buses tend</w:t>
      </w:r>
      <w:r w:rsidR="003F6BF4">
        <w:rPr>
          <w:rFonts w:cstheme="minorHAnsi"/>
          <w:sz w:val="24"/>
          <w:szCs w:val="24"/>
        </w:rPr>
        <w:t xml:space="preserve"> to travel, on average, about </w:t>
      </w:r>
      <w:r w:rsidR="00F354A3" w:rsidRPr="00F354A3">
        <w:rPr>
          <w:rFonts w:cstheme="minorHAnsi"/>
          <w:sz w:val="24"/>
          <w:szCs w:val="24"/>
        </w:rPr>
        <w:t>10</w:t>
      </w:r>
      <w:r w:rsidRPr="00F354A3">
        <w:rPr>
          <w:rFonts w:cstheme="minorHAnsi"/>
          <w:sz w:val="24"/>
          <w:szCs w:val="24"/>
        </w:rPr>
        <w:t>,000 miles</w:t>
      </w:r>
      <w:r>
        <w:rPr>
          <w:rFonts w:cstheme="minorHAnsi"/>
          <w:sz w:val="24"/>
          <w:szCs w:val="24"/>
        </w:rPr>
        <w:t xml:space="preserve"> </w:t>
      </w:r>
      <w:r w:rsidR="00F354A3">
        <w:rPr>
          <w:rFonts w:cstheme="minorHAnsi"/>
          <w:sz w:val="24"/>
          <w:szCs w:val="24"/>
        </w:rPr>
        <w:t>further</w:t>
      </w:r>
      <w:r>
        <w:rPr>
          <w:rFonts w:cstheme="minorHAnsi"/>
          <w:sz w:val="24"/>
          <w:szCs w:val="24"/>
        </w:rPr>
        <w:t xml:space="preserve"> than the electric </w:t>
      </w:r>
      <w:r w:rsidR="003F6BF4">
        <w:rPr>
          <w:rFonts w:cstheme="minorHAnsi"/>
          <w:sz w:val="24"/>
          <w:szCs w:val="24"/>
        </w:rPr>
        <w:t>buses</w:t>
      </w:r>
      <w:r>
        <w:rPr>
          <w:rFonts w:cstheme="minorHAnsi"/>
          <w:sz w:val="24"/>
          <w:szCs w:val="24"/>
        </w:rPr>
        <w:t xml:space="preserve"> before requiring a road call.</w:t>
      </w:r>
    </w:p>
    <w:p w:rsidR="00F36C95" w:rsidRDefault="00D57741" w:rsidP="00710D97">
      <w:pPr>
        <w:autoSpaceDE w:val="0"/>
        <w:autoSpaceDN w:val="0"/>
        <w:adjustRightInd w:val="0"/>
        <w:spacing w:line="240" w:lineRule="auto"/>
        <w:ind w:left="1440" w:right="720"/>
        <w:jc w:val="center"/>
        <w:rPr>
          <w:rFonts w:cstheme="minorHAnsi"/>
          <w:sz w:val="24"/>
          <w:szCs w:val="24"/>
        </w:rPr>
      </w:pPr>
      <w:r>
        <w:rPr>
          <w:noProof/>
        </w:rPr>
        <w:drawing>
          <wp:inline distT="0" distB="0" distL="0" distR="0" wp14:anchorId="00F7754F" wp14:editId="557BF6A6">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FA2" w:rsidRDefault="00F354A3" w:rsidP="00710D97">
      <w:pPr>
        <w:autoSpaceDE w:val="0"/>
        <w:autoSpaceDN w:val="0"/>
        <w:adjustRightInd w:val="0"/>
        <w:spacing w:line="240" w:lineRule="auto"/>
        <w:ind w:left="1440" w:right="720"/>
        <w:jc w:val="both"/>
        <w:rPr>
          <w:rFonts w:cstheme="minorHAnsi"/>
          <w:sz w:val="24"/>
          <w:szCs w:val="24"/>
        </w:rPr>
      </w:pPr>
      <w:r w:rsidRPr="00F354A3">
        <w:rPr>
          <w:rFonts w:cstheme="minorHAnsi"/>
          <w:sz w:val="24"/>
          <w:szCs w:val="24"/>
        </w:rPr>
        <w:t>To date,</w:t>
      </w:r>
      <w:r w:rsidR="00171D4E" w:rsidRPr="00F354A3">
        <w:rPr>
          <w:rFonts w:cstheme="minorHAnsi"/>
          <w:sz w:val="24"/>
          <w:szCs w:val="24"/>
        </w:rPr>
        <w:t xml:space="preserve"> maintenance</w:t>
      </w:r>
      <w:r w:rsidR="009D2FA2" w:rsidRPr="00F354A3">
        <w:rPr>
          <w:rFonts w:cstheme="minorHAnsi"/>
          <w:sz w:val="24"/>
          <w:szCs w:val="24"/>
        </w:rPr>
        <w:t xml:space="preserve"> costs</w:t>
      </w:r>
      <w:r w:rsidRPr="00F354A3">
        <w:rPr>
          <w:rFonts w:cstheme="minorHAnsi"/>
          <w:sz w:val="24"/>
          <w:szCs w:val="24"/>
        </w:rPr>
        <w:t xml:space="preserve"> associated with parts</w:t>
      </w:r>
      <w:r w:rsidR="009D2FA2" w:rsidRPr="00F354A3">
        <w:rPr>
          <w:rFonts w:cstheme="minorHAnsi"/>
          <w:sz w:val="24"/>
          <w:szCs w:val="24"/>
        </w:rPr>
        <w:t xml:space="preserve"> </w:t>
      </w:r>
      <w:proofErr w:type="gramStart"/>
      <w:r w:rsidR="00171D4E" w:rsidRPr="00F354A3">
        <w:rPr>
          <w:rFonts w:cstheme="minorHAnsi"/>
          <w:sz w:val="24"/>
          <w:szCs w:val="24"/>
        </w:rPr>
        <w:t>have been</w:t>
      </w:r>
      <w:r w:rsidR="009D2FA2" w:rsidRPr="00F354A3">
        <w:rPr>
          <w:rFonts w:cstheme="minorHAnsi"/>
          <w:sz w:val="24"/>
          <w:szCs w:val="24"/>
        </w:rPr>
        <w:t xml:space="preserve"> largely covered</w:t>
      </w:r>
      <w:proofErr w:type="gramEnd"/>
      <w:r w:rsidR="009D2FA2" w:rsidRPr="00F354A3">
        <w:rPr>
          <w:rFonts w:cstheme="minorHAnsi"/>
          <w:sz w:val="24"/>
          <w:szCs w:val="24"/>
        </w:rPr>
        <w:t xml:space="preserve"> by warranties and the collaborative relationships with the various vendors.  </w:t>
      </w:r>
      <w:r w:rsidRPr="00F354A3">
        <w:rPr>
          <w:rFonts w:cstheme="minorHAnsi"/>
          <w:sz w:val="24"/>
          <w:szCs w:val="24"/>
        </w:rPr>
        <w:t>Three</w:t>
      </w:r>
      <w:r w:rsidR="009D2FA2" w:rsidRPr="00F354A3">
        <w:rPr>
          <w:rFonts w:cstheme="minorHAnsi"/>
          <w:sz w:val="24"/>
          <w:szCs w:val="24"/>
        </w:rPr>
        <w:t xml:space="preserve"> years later, both operations and maintenance continue to learn about the technology and how best to maximize efficiencies. An area of concern </w:t>
      </w:r>
      <w:r w:rsidR="00954E62" w:rsidRPr="00F354A3">
        <w:rPr>
          <w:rFonts w:cstheme="minorHAnsi"/>
          <w:sz w:val="24"/>
          <w:szCs w:val="24"/>
        </w:rPr>
        <w:t xml:space="preserve">is </w:t>
      </w:r>
      <w:r w:rsidR="009D2FA2" w:rsidRPr="00F354A3">
        <w:rPr>
          <w:rFonts w:cstheme="minorHAnsi"/>
          <w:sz w:val="24"/>
          <w:szCs w:val="24"/>
        </w:rPr>
        <w:t xml:space="preserve">the expertise required to maintain the electric vehicles beyond the warranty </w:t>
      </w:r>
      <w:r w:rsidR="009D2FA2" w:rsidRPr="00F354A3">
        <w:rPr>
          <w:rFonts w:cstheme="minorHAnsi"/>
          <w:sz w:val="24"/>
          <w:szCs w:val="24"/>
        </w:rPr>
        <w:lastRenderedPageBreak/>
        <w:t xml:space="preserve">period. The manufacturer currently provides electrical engineering support and it may be necessary to invest further in additional staff and/or training to ensure those needs </w:t>
      </w:r>
      <w:proofErr w:type="gramStart"/>
      <w:r w:rsidR="009D2FA2" w:rsidRPr="00F354A3">
        <w:rPr>
          <w:rFonts w:cstheme="minorHAnsi"/>
          <w:sz w:val="24"/>
          <w:szCs w:val="24"/>
        </w:rPr>
        <w:t>are met</w:t>
      </w:r>
      <w:proofErr w:type="gramEnd"/>
      <w:r w:rsidR="009D2FA2" w:rsidRPr="00F354A3">
        <w:rPr>
          <w:rFonts w:cstheme="minorHAnsi"/>
          <w:sz w:val="24"/>
          <w:szCs w:val="24"/>
        </w:rPr>
        <w:t>.</w:t>
      </w:r>
    </w:p>
    <w:p w:rsidR="004F7F6E" w:rsidRPr="001E78AD" w:rsidRDefault="00F354A3"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 xml:space="preserve">Staff recognizes this is </w:t>
      </w:r>
      <w:r w:rsidR="004F7F6E">
        <w:rPr>
          <w:rFonts w:cstheme="minorHAnsi"/>
          <w:sz w:val="24"/>
          <w:szCs w:val="24"/>
        </w:rPr>
        <w:t xml:space="preserve">still </w:t>
      </w:r>
      <w:r>
        <w:rPr>
          <w:rFonts w:cstheme="minorHAnsi"/>
          <w:sz w:val="24"/>
          <w:szCs w:val="24"/>
        </w:rPr>
        <w:t xml:space="preserve">an </w:t>
      </w:r>
      <w:r w:rsidR="004F7F6E">
        <w:rPr>
          <w:rFonts w:cstheme="minorHAnsi"/>
          <w:sz w:val="24"/>
          <w:szCs w:val="24"/>
        </w:rPr>
        <w:t xml:space="preserve">emerging </w:t>
      </w:r>
      <w:r w:rsidR="004A159B">
        <w:rPr>
          <w:rFonts w:cstheme="minorHAnsi"/>
          <w:sz w:val="24"/>
          <w:szCs w:val="24"/>
        </w:rPr>
        <w:t>technology that</w:t>
      </w:r>
      <w:r>
        <w:rPr>
          <w:rFonts w:cstheme="minorHAnsi"/>
          <w:sz w:val="24"/>
          <w:szCs w:val="24"/>
        </w:rPr>
        <w:t xml:space="preserve"> will continue to develop and improve with time. The 1800 series has</w:t>
      </w:r>
      <w:r w:rsidR="004A159B">
        <w:rPr>
          <w:rFonts w:cstheme="minorHAnsi"/>
          <w:sz w:val="24"/>
          <w:szCs w:val="24"/>
        </w:rPr>
        <w:t xml:space="preserve"> a different battery system, which has</w:t>
      </w:r>
      <w:r>
        <w:rPr>
          <w:rFonts w:cstheme="minorHAnsi"/>
          <w:sz w:val="24"/>
          <w:szCs w:val="24"/>
        </w:rPr>
        <w:t xml:space="preserve"> been significantly more reliable and is currently compensating for the deficiencies of the 1600 series</w:t>
      </w:r>
      <w:r w:rsidR="004A159B">
        <w:rPr>
          <w:rFonts w:cstheme="minorHAnsi"/>
          <w:sz w:val="24"/>
          <w:szCs w:val="24"/>
        </w:rPr>
        <w:t>.</w:t>
      </w:r>
      <w:r w:rsidR="00A03F4E">
        <w:rPr>
          <w:rFonts w:cstheme="minorHAnsi"/>
          <w:sz w:val="24"/>
          <w:szCs w:val="24"/>
        </w:rPr>
        <w:t xml:space="preserve"> Staff is constantly evaluating </w:t>
      </w:r>
      <w:proofErr w:type="gramStart"/>
      <w:r w:rsidR="004A159B">
        <w:rPr>
          <w:rFonts w:cstheme="minorHAnsi"/>
          <w:sz w:val="24"/>
          <w:szCs w:val="24"/>
        </w:rPr>
        <w:t>zero emission vehicle research</w:t>
      </w:r>
      <w:proofErr w:type="gramEnd"/>
      <w:r w:rsidR="004A159B">
        <w:rPr>
          <w:rFonts w:cstheme="minorHAnsi"/>
          <w:sz w:val="24"/>
          <w:szCs w:val="24"/>
        </w:rPr>
        <w:t>, including electric and fuel cell solutions. Given some of the limitations of electric vehicles at a large scale, it may be appropriate to pursue a blended fleet</w:t>
      </w:r>
      <w:r w:rsidR="00A03F4E">
        <w:rPr>
          <w:rFonts w:cstheme="minorHAnsi"/>
          <w:sz w:val="24"/>
          <w:szCs w:val="24"/>
        </w:rPr>
        <w:t xml:space="preserve"> (electric and fuel cell)</w:t>
      </w:r>
      <w:r w:rsidR="004A159B">
        <w:rPr>
          <w:rFonts w:cstheme="minorHAnsi"/>
          <w:sz w:val="24"/>
          <w:szCs w:val="24"/>
        </w:rPr>
        <w:t xml:space="preserve"> to ensure service reliability.</w:t>
      </w:r>
    </w:p>
    <w:p w:rsidR="00A00309" w:rsidRPr="007547CD" w:rsidRDefault="009D2FA2" w:rsidP="00710D97">
      <w:pPr>
        <w:autoSpaceDE w:val="0"/>
        <w:autoSpaceDN w:val="0"/>
        <w:adjustRightInd w:val="0"/>
        <w:spacing w:line="240" w:lineRule="auto"/>
        <w:ind w:left="1440" w:right="720"/>
        <w:jc w:val="both"/>
        <w:rPr>
          <w:rFonts w:cstheme="minorHAnsi"/>
          <w:sz w:val="24"/>
          <w:szCs w:val="24"/>
        </w:rPr>
      </w:pPr>
      <w:r w:rsidRPr="001E78AD">
        <w:rPr>
          <w:rFonts w:cstheme="minorHAnsi"/>
          <w:b/>
          <w:sz w:val="24"/>
          <w:szCs w:val="24"/>
        </w:rPr>
        <w:t>Cost</w:t>
      </w:r>
      <w:r w:rsidR="00F9722B" w:rsidRPr="001E78AD">
        <w:rPr>
          <w:rFonts w:cstheme="minorHAnsi"/>
          <w:b/>
          <w:sz w:val="24"/>
          <w:szCs w:val="24"/>
        </w:rPr>
        <w:t xml:space="preserve"> </w:t>
      </w:r>
      <w:r w:rsidRPr="001E78AD">
        <w:rPr>
          <w:rFonts w:cstheme="minorHAnsi"/>
          <w:b/>
          <w:sz w:val="24"/>
          <w:szCs w:val="24"/>
        </w:rPr>
        <w:t>to Operate</w:t>
      </w:r>
      <w:r w:rsidR="00A00309" w:rsidRPr="001E78AD">
        <w:rPr>
          <w:rFonts w:cstheme="minorHAnsi"/>
          <w:b/>
          <w:sz w:val="24"/>
          <w:szCs w:val="24"/>
        </w:rPr>
        <w:t>:</w:t>
      </w:r>
      <w:r w:rsidR="00A00309" w:rsidRPr="007547CD">
        <w:rPr>
          <w:rFonts w:cstheme="minorHAnsi"/>
          <w:b/>
          <w:sz w:val="24"/>
          <w:szCs w:val="24"/>
        </w:rPr>
        <w:t xml:space="preserve"> </w:t>
      </w:r>
    </w:p>
    <w:p w:rsidR="008E11CC" w:rsidRDefault="00F36C95"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The electricity rates</w:t>
      </w:r>
      <w:r w:rsidR="009D2FA2">
        <w:rPr>
          <w:rFonts w:cstheme="minorHAnsi"/>
          <w:sz w:val="24"/>
          <w:szCs w:val="24"/>
        </w:rPr>
        <w:t xml:space="preserve"> have been the major concern since implementation.  </w:t>
      </w:r>
      <w:r w:rsidR="004A159B">
        <w:rPr>
          <w:rFonts w:cstheme="minorHAnsi"/>
          <w:sz w:val="24"/>
          <w:szCs w:val="24"/>
        </w:rPr>
        <w:t xml:space="preserve">Since the electric vehicles </w:t>
      </w:r>
      <w:proofErr w:type="gramStart"/>
      <w:r w:rsidR="004A159B">
        <w:rPr>
          <w:rFonts w:cstheme="minorHAnsi"/>
          <w:sz w:val="24"/>
          <w:szCs w:val="24"/>
        </w:rPr>
        <w:t>were put</w:t>
      </w:r>
      <w:proofErr w:type="gramEnd"/>
      <w:r w:rsidR="004A159B">
        <w:rPr>
          <w:rFonts w:cstheme="minorHAnsi"/>
          <w:sz w:val="24"/>
          <w:szCs w:val="24"/>
        </w:rPr>
        <w:t xml:space="preserve"> in service, electricity costs remained constant at both the County Connection Facility and Walnut Creek BART station,</w:t>
      </w:r>
      <w:r w:rsidR="007E7BAC">
        <w:rPr>
          <w:rFonts w:cstheme="minorHAnsi"/>
          <w:sz w:val="24"/>
          <w:szCs w:val="24"/>
        </w:rPr>
        <w:t xml:space="preserve"> </w:t>
      </w:r>
      <w:r w:rsidR="009D2FA2">
        <w:rPr>
          <w:rFonts w:cstheme="minorHAnsi"/>
          <w:sz w:val="24"/>
          <w:szCs w:val="24"/>
        </w:rPr>
        <w:t xml:space="preserve">at </w:t>
      </w:r>
      <w:r w:rsidR="007E7BAC">
        <w:rPr>
          <w:rFonts w:cstheme="minorHAnsi"/>
          <w:sz w:val="24"/>
          <w:szCs w:val="24"/>
        </w:rPr>
        <w:t xml:space="preserve">about $0.25/kWh in the summer and $0.20/kWh the rest of the year.  </w:t>
      </w:r>
      <w:r w:rsidR="00CB772A">
        <w:rPr>
          <w:rFonts w:cstheme="minorHAnsi"/>
          <w:sz w:val="24"/>
          <w:szCs w:val="24"/>
        </w:rPr>
        <w:t>However, s</w:t>
      </w:r>
      <w:r w:rsidR="004A159B">
        <w:rPr>
          <w:rFonts w:cstheme="minorHAnsi"/>
          <w:sz w:val="24"/>
          <w:szCs w:val="24"/>
        </w:rPr>
        <w:t xml:space="preserve">tarting in May 2019, PG&amp;E adjusted the rate at the Walnut Creek BART station, changing the energy charges from a fixed rate to “Peak” ($0.58/kWh), “Part Peak” ($0.28/kWh) and “Off Peak” ($0.21/kWh). </w:t>
      </w:r>
      <w:r w:rsidR="00CB772A">
        <w:rPr>
          <w:rFonts w:cstheme="minorHAnsi"/>
          <w:sz w:val="24"/>
          <w:szCs w:val="24"/>
        </w:rPr>
        <w:t>Though this did not significantly affect FY 19 totals, it will likely increase electricity cost per mile in the coming fiscal year.</w:t>
      </w:r>
    </w:p>
    <w:p w:rsidR="003F6BF4" w:rsidRDefault="00E165B7"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 xml:space="preserve">Between July 2018 and October </w:t>
      </w:r>
      <w:proofErr w:type="gramStart"/>
      <w:r>
        <w:rPr>
          <w:rFonts w:cstheme="minorHAnsi"/>
          <w:sz w:val="24"/>
          <w:szCs w:val="24"/>
        </w:rPr>
        <w:t>2018</w:t>
      </w:r>
      <w:proofErr w:type="gramEnd"/>
      <w:r>
        <w:rPr>
          <w:rFonts w:cstheme="minorHAnsi"/>
          <w:sz w:val="24"/>
          <w:szCs w:val="24"/>
        </w:rPr>
        <w:t xml:space="preserve"> </w:t>
      </w:r>
      <w:r w:rsidR="00377226">
        <w:rPr>
          <w:rFonts w:cstheme="minorHAnsi"/>
          <w:sz w:val="24"/>
          <w:szCs w:val="24"/>
        </w:rPr>
        <w:t>combined electricity costs, for the facility and BART, were about $4</w:t>
      </w:r>
      <w:r>
        <w:rPr>
          <w:rFonts w:cstheme="minorHAnsi"/>
          <w:sz w:val="24"/>
          <w:szCs w:val="24"/>
        </w:rPr>
        <w:t>,500. Staff experienced some issues with the electric fleet and the charger at BART in December 2018 and after the new transit center opened earlier this year. The new energy charge at the BART station and the increased use of the 1800 series vehicles combined, led to a total electricity payment of approximately $6,600 in June 2019</w:t>
      </w:r>
      <w:r w:rsidR="00D57741">
        <w:rPr>
          <w:rFonts w:cstheme="minorHAnsi"/>
          <w:sz w:val="24"/>
          <w:szCs w:val="24"/>
        </w:rPr>
        <w:t>.</w:t>
      </w:r>
    </w:p>
    <w:p w:rsidR="003F6BF4" w:rsidRDefault="003F6BF4" w:rsidP="00710D97">
      <w:pPr>
        <w:autoSpaceDE w:val="0"/>
        <w:autoSpaceDN w:val="0"/>
        <w:adjustRightInd w:val="0"/>
        <w:spacing w:line="240" w:lineRule="auto"/>
        <w:ind w:left="1440" w:right="720"/>
        <w:jc w:val="both"/>
        <w:rPr>
          <w:rFonts w:cstheme="minorHAnsi"/>
          <w:sz w:val="24"/>
          <w:szCs w:val="24"/>
        </w:rPr>
      </w:pPr>
      <w:r>
        <w:rPr>
          <w:noProof/>
        </w:rPr>
        <w:drawing>
          <wp:inline distT="0" distB="0" distL="0" distR="0" wp14:anchorId="2D35C896" wp14:editId="1CCE2E27">
            <wp:extent cx="6096000" cy="2876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7BAC" w:rsidRDefault="008E11CC" w:rsidP="008E11CC">
      <w:pPr>
        <w:autoSpaceDE w:val="0"/>
        <w:autoSpaceDN w:val="0"/>
        <w:adjustRightInd w:val="0"/>
        <w:spacing w:line="240" w:lineRule="auto"/>
        <w:ind w:left="1440" w:right="720"/>
        <w:jc w:val="both"/>
        <w:rPr>
          <w:rFonts w:cstheme="minorHAnsi"/>
          <w:sz w:val="24"/>
          <w:szCs w:val="24"/>
        </w:rPr>
      </w:pPr>
      <w:r w:rsidRPr="00D62846">
        <w:rPr>
          <w:rFonts w:cstheme="minorHAnsi"/>
          <w:sz w:val="24"/>
          <w:szCs w:val="24"/>
        </w:rPr>
        <w:t xml:space="preserve">The average fuel cost per mile for diesel and electric buses has not changed significantly. </w:t>
      </w:r>
      <w:r w:rsidR="00F36E30">
        <w:rPr>
          <w:rFonts w:cstheme="minorHAnsi"/>
          <w:sz w:val="24"/>
          <w:szCs w:val="24"/>
        </w:rPr>
        <w:t>The</w:t>
      </w:r>
      <w:r w:rsidRPr="00D62846">
        <w:rPr>
          <w:rFonts w:cstheme="minorHAnsi"/>
          <w:sz w:val="24"/>
          <w:szCs w:val="24"/>
        </w:rPr>
        <w:t xml:space="preserve"> electric </w:t>
      </w:r>
      <w:r w:rsidR="00D62846" w:rsidRPr="00D62846">
        <w:rPr>
          <w:rFonts w:cstheme="minorHAnsi"/>
          <w:sz w:val="24"/>
          <w:szCs w:val="24"/>
        </w:rPr>
        <w:t xml:space="preserve">bus fuel cost per mile </w:t>
      </w:r>
      <w:r w:rsidR="00F36E30" w:rsidRPr="00D62846">
        <w:rPr>
          <w:rFonts w:cstheme="minorHAnsi"/>
          <w:sz w:val="24"/>
          <w:szCs w:val="24"/>
        </w:rPr>
        <w:t>is</w:t>
      </w:r>
      <w:r w:rsidR="00D62846" w:rsidRPr="00D62846">
        <w:rPr>
          <w:rFonts w:cstheme="minorHAnsi"/>
          <w:sz w:val="24"/>
          <w:szCs w:val="24"/>
        </w:rPr>
        <w:t xml:space="preserve"> about $0.65</w:t>
      </w:r>
      <w:r w:rsidR="00F36E30">
        <w:rPr>
          <w:rFonts w:cstheme="minorHAnsi"/>
          <w:sz w:val="24"/>
          <w:szCs w:val="24"/>
        </w:rPr>
        <w:t xml:space="preserve"> compared to</w:t>
      </w:r>
      <w:r w:rsidR="00D62846" w:rsidRPr="00D62846">
        <w:rPr>
          <w:rFonts w:cstheme="minorHAnsi"/>
          <w:sz w:val="24"/>
          <w:szCs w:val="24"/>
        </w:rPr>
        <w:t xml:space="preserve"> $0.46</w:t>
      </w:r>
      <w:r w:rsidRPr="00D62846">
        <w:rPr>
          <w:rFonts w:cstheme="minorHAnsi"/>
          <w:sz w:val="24"/>
          <w:szCs w:val="24"/>
        </w:rPr>
        <w:t xml:space="preserve"> </w:t>
      </w:r>
      <w:r w:rsidR="00F36E30">
        <w:rPr>
          <w:rFonts w:cstheme="minorHAnsi"/>
          <w:sz w:val="24"/>
          <w:szCs w:val="24"/>
        </w:rPr>
        <w:t>for diesel</w:t>
      </w:r>
      <w:r w:rsidRPr="00D62846">
        <w:rPr>
          <w:rFonts w:cstheme="minorHAnsi"/>
          <w:sz w:val="24"/>
          <w:szCs w:val="24"/>
        </w:rPr>
        <w:t xml:space="preserve">. </w:t>
      </w:r>
      <w:r w:rsidR="00171D4E" w:rsidRPr="00D62846">
        <w:rPr>
          <w:rFonts w:cstheme="minorHAnsi"/>
          <w:sz w:val="24"/>
          <w:szCs w:val="24"/>
        </w:rPr>
        <w:t xml:space="preserve">As mentioned earlier, in addition to County Connection’s staff time, the electric buses also required specialty support </w:t>
      </w:r>
      <w:r w:rsidR="00171D4E" w:rsidRPr="00D62846">
        <w:rPr>
          <w:rFonts w:cstheme="minorHAnsi"/>
          <w:sz w:val="24"/>
          <w:szCs w:val="24"/>
        </w:rPr>
        <w:lastRenderedPageBreak/>
        <w:t>from the various vendors.  Those costs are not included in this calculation as they are currently under warranty.  However, once that support stops, County Connection will be required to pay for those services or invest significantly in existing staff to ensure proper maintenance.</w:t>
      </w:r>
      <w:r w:rsidR="00171D4E">
        <w:rPr>
          <w:rFonts w:cstheme="minorHAnsi"/>
          <w:sz w:val="24"/>
          <w:szCs w:val="24"/>
        </w:rPr>
        <w:t xml:space="preserve"> </w:t>
      </w:r>
    </w:p>
    <w:p w:rsidR="00781CA6" w:rsidRDefault="00781CA6" w:rsidP="00781CA6">
      <w:pPr>
        <w:ind w:left="1440" w:right="720"/>
        <w:jc w:val="both"/>
        <w:rPr>
          <w:rFonts w:cstheme="minorHAnsi"/>
          <w:b/>
          <w:sz w:val="24"/>
          <w:szCs w:val="24"/>
        </w:rPr>
      </w:pPr>
      <w:r>
        <w:rPr>
          <w:rFonts w:cstheme="minorHAnsi"/>
          <w:b/>
          <w:sz w:val="24"/>
          <w:szCs w:val="24"/>
        </w:rPr>
        <w:t>Conclusions:</w:t>
      </w:r>
    </w:p>
    <w:p w:rsidR="00781CA6" w:rsidRPr="00D62846" w:rsidRDefault="00F36E30" w:rsidP="00D57741">
      <w:pPr>
        <w:ind w:left="1440" w:right="720"/>
        <w:jc w:val="both"/>
        <w:rPr>
          <w:rFonts w:cstheme="minorHAnsi"/>
          <w:sz w:val="24"/>
          <w:szCs w:val="24"/>
        </w:rPr>
      </w:pPr>
      <w:r>
        <w:rPr>
          <w:rFonts w:cstheme="minorHAnsi"/>
          <w:sz w:val="24"/>
          <w:szCs w:val="24"/>
        </w:rPr>
        <w:t>Electricity costs and bus reliability continue to be the two most important factors when it comes to implementation at a larger scale</w:t>
      </w:r>
      <w:r w:rsidR="00A03F4E" w:rsidRPr="00D62846">
        <w:rPr>
          <w:rFonts w:cstheme="minorHAnsi"/>
          <w:sz w:val="24"/>
          <w:szCs w:val="24"/>
        </w:rPr>
        <w:t>.</w:t>
      </w:r>
      <w:r>
        <w:rPr>
          <w:rFonts w:cstheme="minorHAnsi"/>
          <w:sz w:val="24"/>
          <w:szCs w:val="24"/>
        </w:rPr>
        <w:t xml:space="preserve">  As mentioned earlier, the</w:t>
      </w:r>
      <w:r w:rsidR="00CB772A">
        <w:rPr>
          <w:rFonts w:cstheme="minorHAnsi"/>
          <w:sz w:val="24"/>
          <w:szCs w:val="24"/>
        </w:rPr>
        <w:t xml:space="preserve"> recent rate increase</w:t>
      </w:r>
      <w:r>
        <w:rPr>
          <w:rFonts w:cstheme="minorHAnsi"/>
          <w:sz w:val="24"/>
          <w:szCs w:val="24"/>
        </w:rPr>
        <w:t xml:space="preserve"> at the Walnut Creek BART station will </w:t>
      </w:r>
      <w:r w:rsidR="00CB772A">
        <w:rPr>
          <w:rFonts w:cstheme="minorHAnsi"/>
          <w:sz w:val="24"/>
          <w:szCs w:val="24"/>
        </w:rPr>
        <w:t>have cost implications in the coming fiscal year.</w:t>
      </w:r>
      <w:r w:rsidR="0057356F">
        <w:rPr>
          <w:rFonts w:cstheme="minorHAnsi"/>
          <w:sz w:val="24"/>
          <w:szCs w:val="24"/>
        </w:rPr>
        <w:t xml:space="preserve"> Staff will continue to provide feedback to the California Public Utilities Commission (CPUC) as rate structures are developed.  </w:t>
      </w:r>
      <w:r w:rsidR="00781CA6" w:rsidRPr="00D62846">
        <w:rPr>
          <w:rFonts w:cstheme="minorHAnsi"/>
          <w:sz w:val="24"/>
          <w:szCs w:val="24"/>
        </w:rPr>
        <w:t xml:space="preserve">As </w:t>
      </w:r>
      <w:proofErr w:type="gramStart"/>
      <w:r w:rsidR="00781CA6" w:rsidRPr="00D62846">
        <w:rPr>
          <w:rFonts w:cstheme="minorHAnsi"/>
          <w:sz w:val="24"/>
          <w:szCs w:val="24"/>
        </w:rPr>
        <w:t>California</w:t>
      </w:r>
      <w:proofErr w:type="gramEnd"/>
      <w:r w:rsidR="00781CA6" w:rsidRPr="00D62846">
        <w:rPr>
          <w:rFonts w:cstheme="minorHAnsi"/>
          <w:sz w:val="24"/>
          <w:szCs w:val="24"/>
        </w:rPr>
        <w:t xml:space="preserve"> moves to an all-electric future, staff will continue to </w:t>
      </w:r>
      <w:r w:rsidR="0057356F" w:rsidRPr="00D62846">
        <w:rPr>
          <w:rFonts w:cstheme="minorHAnsi"/>
          <w:sz w:val="24"/>
          <w:szCs w:val="24"/>
        </w:rPr>
        <w:t>report</w:t>
      </w:r>
      <w:r w:rsidR="00781CA6" w:rsidRPr="00D62846">
        <w:rPr>
          <w:rFonts w:cstheme="minorHAnsi"/>
          <w:sz w:val="24"/>
          <w:szCs w:val="24"/>
        </w:rPr>
        <w:t xml:space="preserve"> to the Board on the progress of the electric</w:t>
      </w:r>
      <w:r w:rsidR="0057356F">
        <w:rPr>
          <w:rFonts w:cstheme="minorHAnsi"/>
          <w:sz w:val="24"/>
          <w:szCs w:val="24"/>
        </w:rPr>
        <w:t xml:space="preserve"> and fuel cell</w:t>
      </w:r>
      <w:r w:rsidR="00781CA6" w:rsidRPr="00D62846">
        <w:rPr>
          <w:rFonts w:cstheme="minorHAnsi"/>
          <w:sz w:val="24"/>
          <w:szCs w:val="24"/>
        </w:rPr>
        <w:t xml:space="preserve"> buses. Although staff recognizes the importance of reducing greenhouse g</w:t>
      </w:r>
      <w:r w:rsidR="006F16E5" w:rsidRPr="00D62846">
        <w:rPr>
          <w:rFonts w:cstheme="minorHAnsi"/>
          <w:sz w:val="24"/>
          <w:szCs w:val="24"/>
        </w:rPr>
        <w:t>ases</w:t>
      </w:r>
      <w:r w:rsidR="00781CA6" w:rsidRPr="00D62846">
        <w:rPr>
          <w:rFonts w:cstheme="minorHAnsi"/>
          <w:sz w:val="24"/>
          <w:szCs w:val="24"/>
        </w:rPr>
        <w:t xml:space="preserve">, there are </w:t>
      </w:r>
      <w:proofErr w:type="gramStart"/>
      <w:r w:rsidR="0057356F">
        <w:rPr>
          <w:rFonts w:cstheme="minorHAnsi"/>
          <w:sz w:val="24"/>
          <w:szCs w:val="24"/>
        </w:rPr>
        <w:t xml:space="preserve">a </w:t>
      </w:r>
      <w:r w:rsidR="0057356F" w:rsidRPr="00D62846">
        <w:rPr>
          <w:rFonts w:cstheme="minorHAnsi"/>
          <w:sz w:val="24"/>
          <w:szCs w:val="24"/>
        </w:rPr>
        <w:t>number</w:t>
      </w:r>
      <w:proofErr w:type="gramEnd"/>
      <w:r w:rsidR="00781CA6" w:rsidRPr="00D62846">
        <w:rPr>
          <w:rFonts w:cstheme="minorHAnsi"/>
          <w:sz w:val="24"/>
          <w:szCs w:val="24"/>
        </w:rPr>
        <w:t xml:space="preserve"> </w:t>
      </w:r>
      <w:r w:rsidR="006F16E5" w:rsidRPr="00D62846">
        <w:rPr>
          <w:rFonts w:cstheme="minorHAnsi"/>
          <w:sz w:val="24"/>
          <w:szCs w:val="24"/>
        </w:rPr>
        <w:t>considerations that should be further analyzed</w:t>
      </w:r>
      <w:r w:rsidR="0057356F">
        <w:rPr>
          <w:rFonts w:cstheme="minorHAnsi"/>
          <w:sz w:val="24"/>
          <w:szCs w:val="24"/>
        </w:rPr>
        <w:t xml:space="preserve"> to ensure system wide reliability, which affects overall ridership</w:t>
      </w:r>
      <w:r w:rsidR="006F16E5" w:rsidRPr="00D62846">
        <w:rPr>
          <w:rFonts w:cstheme="minorHAnsi"/>
          <w:sz w:val="24"/>
          <w:szCs w:val="24"/>
        </w:rPr>
        <w:t xml:space="preserve">. </w:t>
      </w:r>
      <w:r w:rsidR="001E78AD" w:rsidRPr="00D62846">
        <w:rPr>
          <w:rFonts w:cstheme="minorHAnsi"/>
          <w:sz w:val="24"/>
          <w:szCs w:val="24"/>
        </w:rPr>
        <w:t xml:space="preserve">Staff will continue to evaluate </w:t>
      </w:r>
      <w:r w:rsidR="00A03F4E" w:rsidRPr="00D62846">
        <w:rPr>
          <w:rFonts w:cstheme="minorHAnsi"/>
          <w:sz w:val="24"/>
          <w:szCs w:val="24"/>
        </w:rPr>
        <w:t>zero emission buses</w:t>
      </w:r>
      <w:r w:rsidR="001E78AD" w:rsidRPr="00D62846">
        <w:rPr>
          <w:rFonts w:cstheme="minorHAnsi"/>
          <w:sz w:val="24"/>
          <w:szCs w:val="24"/>
        </w:rPr>
        <w:t xml:space="preserve"> and determine an appropriate path for County Connection.  </w:t>
      </w:r>
    </w:p>
    <w:p w:rsidR="00F36C95" w:rsidRDefault="00F36C95" w:rsidP="00710D97">
      <w:pPr>
        <w:ind w:left="1440" w:right="720"/>
        <w:jc w:val="both"/>
        <w:rPr>
          <w:rFonts w:cstheme="minorHAnsi"/>
          <w:b/>
          <w:sz w:val="24"/>
          <w:szCs w:val="24"/>
        </w:rPr>
      </w:pPr>
      <w:r>
        <w:rPr>
          <w:rFonts w:cstheme="minorHAnsi"/>
          <w:b/>
          <w:sz w:val="24"/>
          <w:szCs w:val="24"/>
        </w:rPr>
        <w:t>Financial Implications:</w:t>
      </w:r>
    </w:p>
    <w:p w:rsidR="00F9722B" w:rsidRPr="00F36C95" w:rsidRDefault="001E78AD" w:rsidP="00710D97">
      <w:pPr>
        <w:autoSpaceDE w:val="0"/>
        <w:autoSpaceDN w:val="0"/>
        <w:adjustRightInd w:val="0"/>
        <w:spacing w:line="240" w:lineRule="auto"/>
        <w:ind w:left="1440" w:right="720"/>
        <w:jc w:val="both"/>
        <w:rPr>
          <w:rFonts w:cstheme="minorHAnsi"/>
          <w:sz w:val="24"/>
          <w:szCs w:val="24"/>
        </w:rPr>
      </w:pPr>
      <w:r>
        <w:rPr>
          <w:rFonts w:cstheme="minorHAnsi"/>
          <w:sz w:val="24"/>
          <w:szCs w:val="24"/>
        </w:rPr>
        <w:t>Ongoing maintenance</w:t>
      </w:r>
      <w:r w:rsidR="00710D97">
        <w:rPr>
          <w:rFonts w:cstheme="minorHAnsi"/>
          <w:sz w:val="24"/>
          <w:szCs w:val="24"/>
        </w:rPr>
        <w:t xml:space="preserve">. </w:t>
      </w:r>
    </w:p>
    <w:p w:rsidR="002F0381" w:rsidRDefault="004E32F1" w:rsidP="00710D97">
      <w:pPr>
        <w:ind w:left="1440" w:right="720"/>
        <w:jc w:val="both"/>
        <w:rPr>
          <w:rFonts w:cstheme="minorHAnsi"/>
          <w:b/>
          <w:sz w:val="24"/>
          <w:szCs w:val="24"/>
        </w:rPr>
      </w:pPr>
      <w:r>
        <w:rPr>
          <w:rFonts w:cstheme="minorHAnsi"/>
          <w:b/>
          <w:sz w:val="24"/>
          <w:szCs w:val="24"/>
        </w:rPr>
        <w:t>Recommendation:</w:t>
      </w:r>
    </w:p>
    <w:p w:rsidR="00AF216A" w:rsidRDefault="00D41601" w:rsidP="00710D97">
      <w:pPr>
        <w:ind w:left="1440" w:right="720"/>
        <w:jc w:val="both"/>
        <w:rPr>
          <w:rFonts w:cstheme="minorHAnsi"/>
          <w:sz w:val="24"/>
          <w:szCs w:val="24"/>
        </w:rPr>
      </w:pPr>
      <w:r>
        <w:rPr>
          <w:rFonts w:cstheme="minorHAnsi"/>
          <w:sz w:val="24"/>
          <w:szCs w:val="24"/>
        </w:rPr>
        <w:t>Staff and the O&amp;S Committee recommend Board review and file</w:t>
      </w:r>
      <w:r w:rsidR="00F36C95">
        <w:rPr>
          <w:rFonts w:cstheme="minorHAnsi"/>
          <w:sz w:val="24"/>
          <w:szCs w:val="24"/>
        </w:rPr>
        <w:t>.</w:t>
      </w:r>
      <w:r w:rsidR="00AF216A">
        <w:rPr>
          <w:rFonts w:cstheme="minorHAnsi"/>
          <w:sz w:val="24"/>
          <w:szCs w:val="24"/>
        </w:rPr>
        <w:t xml:space="preserve"> </w:t>
      </w:r>
    </w:p>
    <w:p w:rsidR="007D26D0" w:rsidRPr="006A6496" w:rsidRDefault="007D26D0" w:rsidP="007D26D0">
      <w:pPr>
        <w:spacing w:line="240" w:lineRule="auto"/>
        <w:ind w:left="1440" w:right="720"/>
        <w:jc w:val="both"/>
        <w:rPr>
          <w:rFonts w:cstheme="minorHAnsi"/>
          <w:b/>
          <w:sz w:val="24"/>
          <w:szCs w:val="24"/>
        </w:rPr>
      </w:pPr>
      <w:r w:rsidRPr="006A6496">
        <w:rPr>
          <w:rFonts w:cstheme="minorHAnsi"/>
          <w:b/>
          <w:sz w:val="24"/>
          <w:szCs w:val="24"/>
        </w:rPr>
        <w:t>Action Requested:</w:t>
      </w:r>
    </w:p>
    <w:p w:rsidR="007D26D0" w:rsidRPr="0097600D" w:rsidRDefault="007D26D0" w:rsidP="007D26D0">
      <w:pPr>
        <w:spacing w:line="240" w:lineRule="auto"/>
        <w:ind w:left="1440" w:right="720"/>
        <w:jc w:val="both"/>
        <w:rPr>
          <w:rFonts w:cstheme="minorHAnsi"/>
          <w:sz w:val="24"/>
          <w:szCs w:val="24"/>
        </w:rPr>
      </w:pPr>
      <w:r>
        <w:rPr>
          <w:rFonts w:cstheme="minorHAnsi"/>
          <w:sz w:val="24"/>
          <w:szCs w:val="24"/>
        </w:rPr>
        <w:t>None, for information only.</w:t>
      </w:r>
    </w:p>
    <w:sectPr w:rsidR="007D26D0" w:rsidRPr="0097600D" w:rsidSect="00BE7A9B">
      <w:footerReference w:type="default" r:id="rId11"/>
      <w:headerReference w:type="first" r:id="rId12"/>
      <w:footerReference w:type="first" r:id="rId13"/>
      <w:pgSz w:w="12240" w:h="15840"/>
      <w:pgMar w:top="1440" w:right="360" w:bottom="1440" w:left="36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0D" w:rsidRDefault="003A580D" w:rsidP="00777DAC">
      <w:pPr>
        <w:spacing w:after="0" w:line="240" w:lineRule="auto"/>
      </w:pPr>
      <w:r>
        <w:separator/>
      </w:r>
    </w:p>
  </w:endnote>
  <w:endnote w:type="continuationSeparator" w:id="0">
    <w:p w:rsidR="003A580D" w:rsidRDefault="003A580D" w:rsidP="007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44017"/>
      <w:docPartObj>
        <w:docPartGallery w:val="Page Numbers (Bottom of Page)"/>
        <w:docPartUnique/>
      </w:docPartObj>
    </w:sdtPr>
    <w:sdtEndPr>
      <w:rPr>
        <w:noProof/>
      </w:rPr>
    </w:sdtEndPr>
    <w:sdtContent>
      <w:p w:rsidR="0067258C" w:rsidRDefault="0067258C">
        <w:pPr>
          <w:pStyle w:val="Footer"/>
          <w:jc w:val="center"/>
        </w:pPr>
        <w:r>
          <w:fldChar w:fldCharType="begin"/>
        </w:r>
        <w:r>
          <w:instrText xml:space="preserve"> PAGE   \* MERGEFORMAT </w:instrText>
        </w:r>
        <w:r>
          <w:fldChar w:fldCharType="separate"/>
        </w:r>
        <w:r w:rsidR="007A03C4">
          <w:rPr>
            <w:noProof/>
          </w:rPr>
          <w:t>4</w:t>
        </w:r>
        <w:r>
          <w:rPr>
            <w:noProof/>
          </w:rPr>
          <w:fldChar w:fldCharType="end"/>
        </w:r>
      </w:p>
    </w:sdtContent>
  </w:sdt>
  <w:p w:rsidR="0029386F" w:rsidRDefault="00293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533738"/>
      <w:docPartObj>
        <w:docPartGallery w:val="Page Numbers (Bottom of Page)"/>
        <w:docPartUnique/>
      </w:docPartObj>
    </w:sdtPr>
    <w:sdtEndPr>
      <w:rPr>
        <w:noProof/>
      </w:rPr>
    </w:sdtEndPr>
    <w:sdtContent>
      <w:p w:rsidR="0067258C" w:rsidRDefault="0067258C">
        <w:pPr>
          <w:pStyle w:val="Footer"/>
          <w:jc w:val="center"/>
        </w:pPr>
        <w:r>
          <w:fldChar w:fldCharType="begin"/>
        </w:r>
        <w:r>
          <w:instrText xml:space="preserve"> PAGE   \* MERGEFORMAT </w:instrText>
        </w:r>
        <w:r>
          <w:fldChar w:fldCharType="separate"/>
        </w:r>
        <w:r w:rsidR="007A03C4">
          <w:rPr>
            <w:noProof/>
          </w:rPr>
          <w:t>1</w:t>
        </w:r>
        <w:r>
          <w:rPr>
            <w:noProof/>
          </w:rPr>
          <w:fldChar w:fldCharType="end"/>
        </w:r>
      </w:p>
    </w:sdtContent>
  </w:sdt>
  <w:p w:rsidR="0029386F" w:rsidRDefault="0029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0D" w:rsidRDefault="003A580D" w:rsidP="00777DAC">
      <w:pPr>
        <w:spacing w:after="0" w:line="240" w:lineRule="auto"/>
      </w:pPr>
      <w:r>
        <w:separator/>
      </w:r>
    </w:p>
  </w:footnote>
  <w:footnote w:type="continuationSeparator" w:id="0">
    <w:p w:rsidR="003A580D" w:rsidRDefault="003A580D" w:rsidP="0077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6A" w:rsidRDefault="0029386F">
    <w:pPr>
      <w:pStyle w:val="Header"/>
    </w:pPr>
    <w:r>
      <w:rPr>
        <w:noProof/>
      </w:rPr>
      <w:drawing>
        <wp:inline distT="0" distB="0" distL="0" distR="0">
          <wp:extent cx="7315200" cy="828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Templat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DB1"/>
    <w:multiLevelType w:val="hybridMultilevel"/>
    <w:tmpl w:val="BA54CEB0"/>
    <w:lvl w:ilvl="0" w:tplc="8444B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140059"/>
    <w:multiLevelType w:val="hybridMultilevel"/>
    <w:tmpl w:val="76BA63B8"/>
    <w:lvl w:ilvl="0" w:tplc="C27ECE7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CA64EC"/>
    <w:multiLevelType w:val="hybridMultilevel"/>
    <w:tmpl w:val="AE70A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83DD0"/>
    <w:multiLevelType w:val="hybridMultilevel"/>
    <w:tmpl w:val="34040B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853631"/>
    <w:multiLevelType w:val="hybridMultilevel"/>
    <w:tmpl w:val="5E2E6008"/>
    <w:lvl w:ilvl="0" w:tplc="A40CC9D8">
      <w:start w:val="1"/>
      <w:numFmt w:val="decimal"/>
      <w:lvlText w:val="%1."/>
      <w:lvlJc w:val="left"/>
      <w:pPr>
        <w:ind w:left="13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3412B5"/>
    <w:multiLevelType w:val="hybridMultilevel"/>
    <w:tmpl w:val="AE70A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A227D6"/>
    <w:multiLevelType w:val="hybridMultilevel"/>
    <w:tmpl w:val="E204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C67501"/>
    <w:multiLevelType w:val="hybridMultilevel"/>
    <w:tmpl w:val="0DA6DD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7C781A"/>
    <w:multiLevelType w:val="hybridMultilevel"/>
    <w:tmpl w:val="EC1EC80A"/>
    <w:lvl w:ilvl="0" w:tplc="A40CC9D8">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9" w15:restartNumberingAfterBreak="0">
    <w:nsid w:val="3EA91E1A"/>
    <w:multiLevelType w:val="hybridMultilevel"/>
    <w:tmpl w:val="2E18A782"/>
    <w:lvl w:ilvl="0" w:tplc="D2D846B0">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0" w15:restartNumberingAfterBreak="0">
    <w:nsid w:val="41227E55"/>
    <w:multiLevelType w:val="hybridMultilevel"/>
    <w:tmpl w:val="FC46B5FE"/>
    <w:lvl w:ilvl="0" w:tplc="E53CEECE">
      <w:numFmt w:val="bullet"/>
      <w:lvlText w:val=""/>
      <w:lvlJc w:val="left"/>
      <w:pPr>
        <w:ind w:left="2010" w:hanging="360"/>
      </w:pPr>
      <w:rPr>
        <w:rFonts w:ascii="Wingdings" w:eastAsiaTheme="minorHAnsi" w:hAnsi="Wingdings" w:cstheme="minorHAnsi"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15:restartNumberingAfterBreak="0">
    <w:nsid w:val="47781CE4"/>
    <w:multiLevelType w:val="hybridMultilevel"/>
    <w:tmpl w:val="255A6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42B04"/>
    <w:multiLevelType w:val="hybridMultilevel"/>
    <w:tmpl w:val="DA78C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7C0CD5"/>
    <w:multiLevelType w:val="hybridMultilevel"/>
    <w:tmpl w:val="27D0CA8A"/>
    <w:lvl w:ilvl="0" w:tplc="C79403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1E6842"/>
    <w:multiLevelType w:val="hybridMultilevel"/>
    <w:tmpl w:val="D4E874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2C2B66"/>
    <w:multiLevelType w:val="hybridMultilevel"/>
    <w:tmpl w:val="314EF9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700107"/>
    <w:multiLevelType w:val="hybridMultilevel"/>
    <w:tmpl w:val="4DD4130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4"/>
  </w:num>
  <w:num w:numId="6">
    <w:abstractNumId w:val="0"/>
  </w:num>
  <w:num w:numId="7">
    <w:abstractNumId w:val="7"/>
  </w:num>
  <w:num w:numId="8">
    <w:abstractNumId w:val="12"/>
  </w:num>
  <w:num w:numId="9">
    <w:abstractNumId w:val="15"/>
  </w:num>
  <w:num w:numId="10">
    <w:abstractNumId w:val="14"/>
  </w:num>
  <w:num w:numId="11">
    <w:abstractNumId w:val="6"/>
  </w:num>
  <w:num w:numId="12">
    <w:abstractNumId w:val="3"/>
  </w:num>
  <w:num w:numId="13">
    <w:abstractNumId w:val="1"/>
  </w:num>
  <w:num w:numId="14">
    <w:abstractNumId w:val="13"/>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63"/>
    <w:rsid w:val="00015674"/>
    <w:rsid w:val="00024F35"/>
    <w:rsid w:val="00046E66"/>
    <w:rsid w:val="000514CE"/>
    <w:rsid w:val="00053B13"/>
    <w:rsid w:val="000624B0"/>
    <w:rsid w:val="000849A2"/>
    <w:rsid w:val="00091620"/>
    <w:rsid w:val="00092873"/>
    <w:rsid w:val="000A4DC9"/>
    <w:rsid w:val="000B12A5"/>
    <w:rsid w:val="000B47B1"/>
    <w:rsid w:val="000C7518"/>
    <w:rsid w:val="000C7F00"/>
    <w:rsid w:val="000D45C6"/>
    <w:rsid w:val="000F0614"/>
    <w:rsid w:val="00114CCA"/>
    <w:rsid w:val="00115A8C"/>
    <w:rsid w:val="00131D9A"/>
    <w:rsid w:val="0017101B"/>
    <w:rsid w:val="00171D4E"/>
    <w:rsid w:val="00184162"/>
    <w:rsid w:val="001900EC"/>
    <w:rsid w:val="001A3D55"/>
    <w:rsid w:val="001A759F"/>
    <w:rsid w:val="001B0B01"/>
    <w:rsid w:val="001B0CCA"/>
    <w:rsid w:val="001B1683"/>
    <w:rsid w:val="001B2EA1"/>
    <w:rsid w:val="001B3F53"/>
    <w:rsid w:val="001B6EB3"/>
    <w:rsid w:val="001C0143"/>
    <w:rsid w:val="001C5F1A"/>
    <w:rsid w:val="001E4379"/>
    <w:rsid w:val="001E78AD"/>
    <w:rsid w:val="00213C08"/>
    <w:rsid w:val="00214C40"/>
    <w:rsid w:val="002214D2"/>
    <w:rsid w:val="00223E03"/>
    <w:rsid w:val="002447EC"/>
    <w:rsid w:val="00256756"/>
    <w:rsid w:val="00263459"/>
    <w:rsid w:val="00263486"/>
    <w:rsid w:val="00263ACD"/>
    <w:rsid w:val="00292967"/>
    <w:rsid w:val="0029386F"/>
    <w:rsid w:val="00294006"/>
    <w:rsid w:val="002979D7"/>
    <w:rsid w:val="002A12CF"/>
    <w:rsid w:val="002A79E6"/>
    <w:rsid w:val="002A7D4F"/>
    <w:rsid w:val="002B0F52"/>
    <w:rsid w:val="002B7C23"/>
    <w:rsid w:val="002F0381"/>
    <w:rsid w:val="002F370F"/>
    <w:rsid w:val="003010EC"/>
    <w:rsid w:val="00302C9D"/>
    <w:rsid w:val="003047BF"/>
    <w:rsid w:val="00305816"/>
    <w:rsid w:val="0034191F"/>
    <w:rsid w:val="0034589E"/>
    <w:rsid w:val="00361292"/>
    <w:rsid w:val="0036525C"/>
    <w:rsid w:val="00377226"/>
    <w:rsid w:val="003877AB"/>
    <w:rsid w:val="00397CF8"/>
    <w:rsid w:val="003A580D"/>
    <w:rsid w:val="003B2837"/>
    <w:rsid w:val="003C094F"/>
    <w:rsid w:val="003C54E5"/>
    <w:rsid w:val="003D0D6F"/>
    <w:rsid w:val="003E4AFD"/>
    <w:rsid w:val="003F44C5"/>
    <w:rsid w:val="003F6BF4"/>
    <w:rsid w:val="0042110D"/>
    <w:rsid w:val="00423ACC"/>
    <w:rsid w:val="004542C0"/>
    <w:rsid w:val="00471DD9"/>
    <w:rsid w:val="0047591D"/>
    <w:rsid w:val="00477279"/>
    <w:rsid w:val="00482141"/>
    <w:rsid w:val="0049246A"/>
    <w:rsid w:val="004A159B"/>
    <w:rsid w:val="004A2562"/>
    <w:rsid w:val="004A5BC3"/>
    <w:rsid w:val="004B4F60"/>
    <w:rsid w:val="004D1251"/>
    <w:rsid w:val="004D6C3F"/>
    <w:rsid w:val="004D753A"/>
    <w:rsid w:val="004E32F1"/>
    <w:rsid w:val="004E3715"/>
    <w:rsid w:val="004F5B93"/>
    <w:rsid w:val="004F7F6E"/>
    <w:rsid w:val="0051184B"/>
    <w:rsid w:val="005365C6"/>
    <w:rsid w:val="00542857"/>
    <w:rsid w:val="0055234E"/>
    <w:rsid w:val="005614A9"/>
    <w:rsid w:val="00570A25"/>
    <w:rsid w:val="0057356F"/>
    <w:rsid w:val="00577B64"/>
    <w:rsid w:val="00582A5B"/>
    <w:rsid w:val="0061611E"/>
    <w:rsid w:val="00616564"/>
    <w:rsid w:val="006262EC"/>
    <w:rsid w:val="00632ABE"/>
    <w:rsid w:val="00640D90"/>
    <w:rsid w:val="00643625"/>
    <w:rsid w:val="0065755F"/>
    <w:rsid w:val="0066622D"/>
    <w:rsid w:val="0067258C"/>
    <w:rsid w:val="006768EF"/>
    <w:rsid w:val="006800C2"/>
    <w:rsid w:val="006C67B6"/>
    <w:rsid w:val="006D241E"/>
    <w:rsid w:val="006D30DE"/>
    <w:rsid w:val="006D3178"/>
    <w:rsid w:val="006F16E5"/>
    <w:rsid w:val="00710D97"/>
    <w:rsid w:val="00714420"/>
    <w:rsid w:val="00716AB3"/>
    <w:rsid w:val="00730863"/>
    <w:rsid w:val="00734D95"/>
    <w:rsid w:val="0073518E"/>
    <w:rsid w:val="00746904"/>
    <w:rsid w:val="00753174"/>
    <w:rsid w:val="007547CD"/>
    <w:rsid w:val="00763793"/>
    <w:rsid w:val="00767783"/>
    <w:rsid w:val="00773206"/>
    <w:rsid w:val="00777DAC"/>
    <w:rsid w:val="00781CA6"/>
    <w:rsid w:val="007A03C4"/>
    <w:rsid w:val="007A4061"/>
    <w:rsid w:val="007B211A"/>
    <w:rsid w:val="007D071E"/>
    <w:rsid w:val="007D26D0"/>
    <w:rsid w:val="007D2BD8"/>
    <w:rsid w:val="007E6F6C"/>
    <w:rsid w:val="007E7BAC"/>
    <w:rsid w:val="007F2A05"/>
    <w:rsid w:val="00801025"/>
    <w:rsid w:val="00803E59"/>
    <w:rsid w:val="00807AC0"/>
    <w:rsid w:val="00834B72"/>
    <w:rsid w:val="00837FCC"/>
    <w:rsid w:val="008518A0"/>
    <w:rsid w:val="00855EBE"/>
    <w:rsid w:val="0089015C"/>
    <w:rsid w:val="00892E02"/>
    <w:rsid w:val="008941A0"/>
    <w:rsid w:val="00896585"/>
    <w:rsid w:val="008B3175"/>
    <w:rsid w:val="008B705E"/>
    <w:rsid w:val="008C0191"/>
    <w:rsid w:val="008D2A84"/>
    <w:rsid w:val="008E11CC"/>
    <w:rsid w:val="008E7848"/>
    <w:rsid w:val="008F622E"/>
    <w:rsid w:val="00902F2B"/>
    <w:rsid w:val="00907169"/>
    <w:rsid w:val="00925ABC"/>
    <w:rsid w:val="009528B5"/>
    <w:rsid w:val="00954E62"/>
    <w:rsid w:val="0095744E"/>
    <w:rsid w:val="00960A38"/>
    <w:rsid w:val="009671AB"/>
    <w:rsid w:val="00967990"/>
    <w:rsid w:val="0097600D"/>
    <w:rsid w:val="009925C9"/>
    <w:rsid w:val="00996A04"/>
    <w:rsid w:val="00996E91"/>
    <w:rsid w:val="009A2A4F"/>
    <w:rsid w:val="009B4F34"/>
    <w:rsid w:val="009C2A1F"/>
    <w:rsid w:val="009D2FA2"/>
    <w:rsid w:val="009F121A"/>
    <w:rsid w:val="00A00309"/>
    <w:rsid w:val="00A02F67"/>
    <w:rsid w:val="00A03F4E"/>
    <w:rsid w:val="00A13B40"/>
    <w:rsid w:val="00A16301"/>
    <w:rsid w:val="00A22734"/>
    <w:rsid w:val="00A53544"/>
    <w:rsid w:val="00A5627C"/>
    <w:rsid w:val="00A60FAA"/>
    <w:rsid w:val="00A66AB4"/>
    <w:rsid w:val="00A670A2"/>
    <w:rsid w:val="00A7307E"/>
    <w:rsid w:val="00A740F5"/>
    <w:rsid w:val="00A77BCD"/>
    <w:rsid w:val="00A84626"/>
    <w:rsid w:val="00A84C33"/>
    <w:rsid w:val="00A8550B"/>
    <w:rsid w:val="00A967B0"/>
    <w:rsid w:val="00AA1379"/>
    <w:rsid w:val="00AB3D7C"/>
    <w:rsid w:val="00AE56AC"/>
    <w:rsid w:val="00AF216A"/>
    <w:rsid w:val="00B0000A"/>
    <w:rsid w:val="00B0054A"/>
    <w:rsid w:val="00B02F6B"/>
    <w:rsid w:val="00B1233B"/>
    <w:rsid w:val="00B423D8"/>
    <w:rsid w:val="00B46866"/>
    <w:rsid w:val="00B65D4D"/>
    <w:rsid w:val="00B75069"/>
    <w:rsid w:val="00B801AE"/>
    <w:rsid w:val="00B847E7"/>
    <w:rsid w:val="00BC043F"/>
    <w:rsid w:val="00BD5589"/>
    <w:rsid w:val="00BE2624"/>
    <w:rsid w:val="00BE4E21"/>
    <w:rsid w:val="00BE522D"/>
    <w:rsid w:val="00BE7A9B"/>
    <w:rsid w:val="00BF54E9"/>
    <w:rsid w:val="00C11555"/>
    <w:rsid w:val="00C20501"/>
    <w:rsid w:val="00C34BEA"/>
    <w:rsid w:val="00C35EE4"/>
    <w:rsid w:val="00C61BBB"/>
    <w:rsid w:val="00C66FA6"/>
    <w:rsid w:val="00C75F70"/>
    <w:rsid w:val="00C76C3F"/>
    <w:rsid w:val="00CA0B90"/>
    <w:rsid w:val="00CA3BE7"/>
    <w:rsid w:val="00CA5111"/>
    <w:rsid w:val="00CB772A"/>
    <w:rsid w:val="00CC2D59"/>
    <w:rsid w:val="00CC5597"/>
    <w:rsid w:val="00CF1BC3"/>
    <w:rsid w:val="00D134CF"/>
    <w:rsid w:val="00D21118"/>
    <w:rsid w:val="00D24297"/>
    <w:rsid w:val="00D3665A"/>
    <w:rsid w:val="00D4035E"/>
    <w:rsid w:val="00D41601"/>
    <w:rsid w:val="00D57741"/>
    <w:rsid w:val="00D62846"/>
    <w:rsid w:val="00D713E5"/>
    <w:rsid w:val="00D77F63"/>
    <w:rsid w:val="00DA074A"/>
    <w:rsid w:val="00DA3AC5"/>
    <w:rsid w:val="00DC7F64"/>
    <w:rsid w:val="00DD593B"/>
    <w:rsid w:val="00DE3EE1"/>
    <w:rsid w:val="00DE48A3"/>
    <w:rsid w:val="00DE61DC"/>
    <w:rsid w:val="00DE6707"/>
    <w:rsid w:val="00DF1033"/>
    <w:rsid w:val="00DF711D"/>
    <w:rsid w:val="00E165B7"/>
    <w:rsid w:val="00E21DC7"/>
    <w:rsid w:val="00E2514D"/>
    <w:rsid w:val="00E30408"/>
    <w:rsid w:val="00E3380E"/>
    <w:rsid w:val="00E40ED1"/>
    <w:rsid w:val="00E4341F"/>
    <w:rsid w:val="00E56CE5"/>
    <w:rsid w:val="00E81484"/>
    <w:rsid w:val="00E86F6E"/>
    <w:rsid w:val="00E962AA"/>
    <w:rsid w:val="00EA10BF"/>
    <w:rsid w:val="00EA2281"/>
    <w:rsid w:val="00EA44AC"/>
    <w:rsid w:val="00EA51A4"/>
    <w:rsid w:val="00EC0B15"/>
    <w:rsid w:val="00ED3FF4"/>
    <w:rsid w:val="00ED57B8"/>
    <w:rsid w:val="00EE10B1"/>
    <w:rsid w:val="00F03367"/>
    <w:rsid w:val="00F354A3"/>
    <w:rsid w:val="00F36C95"/>
    <w:rsid w:val="00F36E30"/>
    <w:rsid w:val="00F44E9A"/>
    <w:rsid w:val="00F53D15"/>
    <w:rsid w:val="00F57D52"/>
    <w:rsid w:val="00F67740"/>
    <w:rsid w:val="00F84BC5"/>
    <w:rsid w:val="00F87A04"/>
    <w:rsid w:val="00F93CC6"/>
    <w:rsid w:val="00F9722B"/>
    <w:rsid w:val="00FA0068"/>
    <w:rsid w:val="00FA58E1"/>
    <w:rsid w:val="00FC1102"/>
    <w:rsid w:val="00FD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C02E21E"/>
  <w15:docId w15:val="{9DB926BA-EF06-4D5D-925D-2DA61EEA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AC"/>
  </w:style>
  <w:style w:type="paragraph" w:styleId="Footer">
    <w:name w:val="footer"/>
    <w:basedOn w:val="Normal"/>
    <w:link w:val="FooterChar"/>
    <w:uiPriority w:val="99"/>
    <w:unhideWhenUsed/>
    <w:rsid w:val="0077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AC"/>
  </w:style>
  <w:style w:type="paragraph" w:styleId="BalloonText">
    <w:name w:val="Balloon Text"/>
    <w:basedOn w:val="Normal"/>
    <w:link w:val="BalloonTextChar"/>
    <w:uiPriority w:val="99"/>
    <w:semiHidden/>
    <w:unhideWhenUsed/>
    <w:rsid w:val="0077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AC"/>
    <w:rPr>
      <w:rFonts w:ascii="Tahoma" w:hAnsi="Tahoma" w:cs="Tahoma"/>
      <w:sz w:val="16"/>
      <w:szCs w:val="16"/>
    </w:rPr>
  </w:style>
  <w:style w:type="paragraph" w:styleId="ListParagraph">
    <w:name w:val="List Paragraph"/>
    <w:basedOn w:val="Normal"/>
    <w:uiPriority w:val="34"/>
    <w:qFormat/>
    <w:rsid w:val="00777DAC"/>
    <w:pPr>
      <w:ind w:left="720"/>
      <w:contextualSpacing/>
    </w:pPr>
  </w:style>
  <w:style w:type="table" w:styleId="TableGrid">
    <w:name w:val="Table Grid"/>
    <w:basedOn w:val="TableNormal"/>
    <w:uiPriority w:val="59"/>
    <w:rsid w:val="00F5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8630">
      <w:bodyDiv w:val="1"/>
      <w:marLeft w:val="0"/>
      <w:marRight w:val="0"/>
      <w:marTop w:val="0"/>
      <w:marBottom w:val="0"/>
      <w:divBdr>
        <w:top w:val="none" w:sz="0" w:space="0" w:color="auto"/>
        <w:left w:val="none" w:sz="0" w:space="0" w:color="auto"/>
        <w:bottom w:val="none" w:sz="0" w:space="0" w:color="auto"/>
        <w:right w:val="none" w:sz="0" w:space="0" w:color="auto"/>
      </w:divBdr>
    </w:div>
    <w:div w:id="437605011">
      <w:bodyDiv w:val="1"/>
      <w:marLeft w:val="0"/>
      <w:marRight w:val="0"/>
      <w:marTop w:val="0"/>
      <w:marBottom w:val="0"/>
      <w:divBdr>
        <w:top w:val="none" w:sz="0" w:space="0" w:color="auto"/>
        <w:left w:val="none" w:sz="0" w:space="0" w:color="auto"/>
        <w:bottom w:val="none" w:sz="0" w:space="0" w:color="auto"/>
        <w:right w:val="none" w:sz="0" w:space="0" w:color="auto"/>
      </w:divBdr>
    </w:div>
    <w:div w:id="1103300930">
      <w:bodyDiv w:val="1"/>
      <w:marLeft w:val="0"/>
      <w:marRight w:val="0"/>
      <w:marTop w:val="0"/>
      <w:marBottom w:val="0"/>
      <w:divBdr>
        <w:top w:val="none" w:sz="0" w:space="0" w:color="auto"/>
        <w:left w:val="none" w:sz="0" w:space="0" w:color="auto"/>
        <w:bottom w:val="none" w:sz="0" w:space="0" w:color="auto"/>
        <w:right w:val="none" w:sz="0" w:space="0" w:color="auto"/>
      </w:divBdr>
    </w:div>
    <w:div w:id="1312758931">
      <w:bodyDiv w:val="1"/>
      <w:marLeft w:val="0"/>
      <w:marRight w:val="0"/>
      <w:marTop w:val="0"/>
      <w:marBottom w:val="0"/>
      <w:divBdr>
        <w:top w:val="none" w:sz="0" w:space="0" w:color="auto"/>
        <w:left w:val="none" w:sz="0" w:space="0" w:color="auto"/>
        <w:bottom w:val="none" w:sz="0" w:space="0" w:color="auto"/>
        <w:right w:val="none" w:sz="0" w:space="0" w:color="auto"/>
      </w:divBdr>
      <w:divsChild>
        <w:div w:id="67119247">
          <w:marLeft w:val="0"/>
          <w:marRight w:val="0"/>
          <w:marTop w:val="0"/>
          <w:marBottom w:val="0"/>
          <w:divBdr>
            <w:top w:val="none" w:sz="0" w:space="0" w:color="auto"/>
            <w:left w:val="none" w:sz="0" w:space="0" w:color="auto"/>
            <w:bottom w:val="none" w:sz="0" w:space="0" w:color="auto"/>
            <w:right w:val="none" w:sz="0" w:space="0" w:color="auto"/>
          </w:divBdr>
        </w:div>
        <w:div w:id="55662968">
          <w:marLeft w:val="0"/>
          <w:marRight w:val="0"/>
          <w:marTop w:val="0"/>
          <w:marBottom w:val="0"/>
          <w:divBdr>
            <w:top w:val="none" w:sz="0" w:space="0" w:color="auto"/>
            <w:left w:val="none" w:sz="0" w:space="0" w:color="auto"/>
            <w:bottom w:val="none" w:sz="0" w:space="0" w:color="auto"/>
            <w:right w:val="none" w:sz="0" w:space="0" w:color="auto"/>
          </w:divBdr>
        </w:div>
        <w:div w:id="2027826787">
          <w:marLeft w:val="0"/>
          <w:marRight w:val="0"/>
          <w:marTop w:val="0"/>
          <w:marBottom w:val="0"/>
          <w:divBdr>
            <w:top w:val="none" w:sz="0" w:space="0" w:color="auto"/>
            <w:left w:val="none" w:sz="0" w:space="0" w:color="auto"/>
            <w:bottom w:val="none" w:sz="0" w:space="0" w:color="auto"/>
            <w:right w:val="none" w:sz="0" w:space="0" w:color="auto"/>
          </w:divBdr>
        </w:div>
        <w:div w:id="814224087">
          <w:marLeft w:val="0"/>
          <w:marRight w:val="0"/>
          <w:marTop w:val="0"/>
          <w:marBottom w:val="0"/>
          <w:divBdr>
            <w:top w:val="none" w:sz="0" w:space="0" w:color="auto"/>
            <w:left w:val="none" w:sz="0" w:space="0" w:color="auto"/>
            <w:bottom w:val="none" w:sz="0" w:space="0" w:color="auto"/>
            <w:right w:val="none" w:sz="0" w:space="0" w:color="auto"/>
          </w:divBdr>
        </w:div>
      </w:divsChild>
    </w:div>
    <w:div w:id="1526091081">
      <w:bodyDiv w:val="1"/>
      <w:marLeft w:val="0"/>
      <w:marRight w:val="0"/>
      <w:marTop w:val="0"/>
      <w:marBottom w:val="0"/>
      <w:divBdr>
        <w:top w:val="none" w:sz="0" w:space="0" w:color="auto"/>
        <w:left w:val="none" w:sz="0" w:space="0" w:color="auto"/>
        <w:bottom w:val="none" w:sz="0" w:space="0" w:color="auto"/>
        <w:right w:val="none" w:sz="0" w:space="0" w:color="auto"/>
      </w:divBdr>
      <w:divsChild>
        <w:div w:id="1792750685">
          <w:marLeft w:val="144"/>
          <w:marRight w:val="0"/>
          <w:marTop w:val="240"/>
          <w:marBottom w:val="40"/>
          <w:divBdr>
            <w:top w:val="none" w:sz="0" w:space="0" w:color="auto"/>
            <w:left w:val="none" w:sz="0" w:space="0" w:color="auto"/>
            <w:bottom w:val="none" w:sz="0" w:space="0" w:color="auto"/>
            <w:right w:val="none" w:sz="0" w:space="0" w:color="auto"/>
          </w:divBdr>
        </w:div>
      </w:divsChild>
    </w:div>
    <w:div w:id="2052881922">
      <w:bodyDiv w:val="1"/>
      <w:marLeft w:val="0"/>
      <w:marRight w:val="0"/>
      <w:marTop w:val="0"/>
      <w:marBottom w:val="0"/>
      <w:divBdr>
        <w:top w:val="none" w:sz="0" w:space="0" w:color="auto"/>
        <w:left w:val="none" w:sz="0" w:space="0" w:color="auto"/>
        <w:bottom w:val="none" w:sz="0" w:space="0" w:color="auto"/>
        <w:right w:val="none" w:sz="0" w:space="0" w:color="auto"/>
      </w:divBdr>
      <w:divsChild>
        <w:div w:id="1748648303">
          <w:marLeft w:val="0"/>
          <w:marRight w:val="0"/>
          <w:marTop w:val="0"/>
          <w:marBottom w:val="0"/>
          <w:divBdr>
            <w:top w:val="none" w:sz="0" w:space="0" w:color="auto"/>
            <w:left w:val="none" w:sz="0" w:space="0" w:color="auto"/>
            <w:bottom w:val="none" w:sz="0" w:space="0" w:color="auto"/>
            <w:right w:val="none" w:sz="0" w:space="0" w:color="auto"/>
          </w:divBdr>
        </w:div>
        <w:div w:id="1661347180">
          <w:marLeft w:val="0"/>
          <w:marRight w:val="0"/>
          <w:marTop w:val="0"/>
          <w:marBottom w:val="0"/>
          <w:divBdr>
            <w:top w:val="none" w:sz="0" w:space="0" w:color="auto"/>
            <w:left w:val="none" w:sz="0" w:space="0" w:color="auto"/>
            <w:bottom w:val="none" w:sz="0" w:space="0" w:color="auto"/>
            <w:right w:val="none" w:sz="0" w:space="0" w:color="auto"/>
          </w:divBdr>
        </w:div>
        <w:div w:id="576984462">
          <w:marLeft w:val="0"/>
          <w:marRight w:val="0"/>
          <w:marTop w:val="0"/>
          <w:marBottom w:val="0"/>
          <w:divBdr>
            <w:top w:val="none" w:sz="0" w:space="0" w:color="auto"/>
            <w:left w:val="none" w:sz="0" w:space="0" w:color="auto"/>
            <w:bottom w:val="none" w:sz="0" w:space="0" w:color="auto"/>
            <w:right w:val="none" w:sz="0" w:space="0" w:color="auto"/>
          </w:divBdr>
        </w:div>
        <w:div w:id="1969318600">
          <w:marLeft w:val="0"/>
          <w:marRight w:val="0"/>
          <w:marTop w:val="0"/>
          <w:marBottom w:val="0"/>
          <w:divBdr>
            <w:top w:val="none" w:sz="0" w:space="0" w:color="auto"/>
            <w:left w:val="none" w:sz="0" w:space="0" w:color="auto"/>
            <w:bottom w:val="none" w:sz="0" w:space="0" w:color="auto"/>
            <w:right w:val="none" w:sz="0" w:space="0" w:color="auto"/>
          </w:divBdr>
        </w:div>
        <w:div w:id="360477760">
          <w:marLeft w:val="0"/>
          <w:marRight w:val="0"/>
          <w:marTop w:val="0"/>
          <w:marBottom w:val="0"/>
          <w:divBdr>
            <w:top w:val="none" w:sz="0" w:space="0" w:color="auto"/>
            <w:left w:val="none" w:sz="0" w:space="0" w:color="auto"/>
            <w:bottom w:val="none" w:sz="0" w:space="0" w:color="auto"/>
            <w:right w:val="none" w:sz="0" w:space="0" w:color="auto"/>
          </w:divBdr>
        </w:div>
        <w:div w:id="1874726121">
          <w:marLeft w:val="0"/>
          <w:marRight w:val="0"/>
          <w:marTop w:val="0"/>
          <w:marBottom w:val="0"/>
          <w:divBdr>
            <w:top w:val="none" w:sz="0" w:space="0" w:color="auto"/>
            <w:left w:val="none" w:sz="0" w:space="0" w:color="auto"/>
            <w:bottom w:val="none" w:sz="0" w:space="0" w:color="auto"/>
            <w:right w:val="none" w:sz="0" w:space="0" w:color="auto"/>
          </w:divBdr>
        </w:div>
        <w:div w:id="1560555683">
          <w:marLeft w:val="0"/>
          <w:marRight w:val="0"/>
          <w:marTop w:val="0"/>
          <w:marBottom w:val="0"/>
          <w:divBdr>
            <w:top w:val="none" w:sz="0" w:space="0" w:color="auto"/>
            <w:left w:val="none" w:sz="0" w:space="0" w:color="auto"/>
            <w:bottom w:val="none" w:sz="0" w:space="0" w:color="auto"/>
            <w:right w:val="none" w:sz="0" w:space="0" w:color="auto"/>
          </w:divBdr>
        </w:div>
      </w:divsChild>
    </w:div>
    <w:div w:id="20942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ccta.local\inter\Board%20and%20Committee%20Meetings\O&amp;S%20COMMITTEE%20PACKET\2019\8.2019\working%20copies\source%20data\SAVEAS%20Maintenance%20Department%20Monthly%20Summary%20with%20STH%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cta.local\inter\Board%20and%20Committee%20Meetings\O&amp;S%20COMMITTEE%20PACKET\2019\8.2019\working%20copies\source%20data\SAVEAS%20Maintenance%20Department%20Monthly%20Summary%20with%20STH%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cta.local\inter\Board%20and%20Committee%20Meetings\O&amp;S%20COMMITTEE%20PACKET\2019\8.2019\working%20copies\source%20data\PGE%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a:t>
            </a:r>
            <a:r>
              <a:rPr lang="en-US" baseline="0"/>
              <a:t> Miles for Each Fleet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pivot!$L$5</c:f>
              <c:strCache>
                <c:ptCount val="1"/>
                <c:pt idx="0">
                  <c:v>2003 Diesel Trolleys</c:v>
                </c:pt>
              </c:strCache>
            </c:strRef>
          </c:tx>
          <c:spPr>
            <a:ln w="28575" cap="rnd">
              <a:solidFill>
                <a:schemeClr val="accent6"/>
              </a:solidFill>
              <a:round/>
            </a:ln>
            <a:effectLst/>
          </c:spPr>
          <c:marker>
            <c:symbol val="none"/>
          </c:marker>
          <c:cat>
            <c:numRef>
              <c:f>pivot!$K$25:$K$36</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pivot!$L$25:$L$36</c:f>
              <c:numCache>
                <c:formatCode>#,##0</c:formatCode>
                <c:ptCount val="12"/>
                <c:pt idx="0">
                  <c:v>105</c:v>
                </c:pt>
                <c:pt idx="1">
                  <c:v>0</c:v>
                </c:pt>
                <c:pt idx="2">
                  <c:v>168</c:v>
                </c:pt>
                <c:pt idx="3">
                  <c:v>0</c:v>
                </c:pt>
                <c:pt idx="4">
                  <c:v>580</c:v>
                </c:pt>
                <c:pt idx="5">
                  <c:v>0</c:v>
                </c:pt>
                <c:pt idx="6">
                  <c:v>60</c:v>
                </c:pt>
                <c:pt idx="7">
                  <c:v>0</c:v>
                </c:pt>
                <c:pt idx="8">
                  <c:v>57</c:v>
                </c:pt>
                <c:pt idx="9">
                  <c:v>0</c:v>
                </c:pt>
                <c:pt idx="10">
                  <c:v>0</c:v>
                </c:pt>
                <c:pt idx="11">
                  <c:v>0</c:v>
                </c:pt>
              </c:numCache>
            </c:numRef>
          </c:val>
          <c:smooth val="0"/>
          <c:extLst>
            <c:ext xmlns:c16="http://schemas.microsoft.com/office/drawing/2014/chart" uri="{C3380CC4-5D6E-409C-BE32-E72D297353CC}">
              <c16:uniqueId val="{00000000-DBEA-44C8-9D8B-024C799D4A5F}"/>
            </c:ext>
          </c:extLst>
        </c:ser>
        <c:ser>
          <c:idx val="2"/>
          <c:order val="1"/>
          <c:tx>
            <c:strRef>
              <c:f>pivot!$P$5</c:f>
              <c:strCache>
                <c:ptCount val="1"/>
                <c:pt idx="0">
                  <c:v>2016 Electric Trolleys</c:v>
                </c:pt>
              </c:strCache>
            </c:strRef>
          </c:tx>
          <c:spPr>
            <a:ln w="28575" cap="rnd">
              <a:solidFill>
                <a:schemeClr val="accent4"/>
              </a:solidFill>
              <a:round/>
            </a:ln>
            <a:effectLst/>
          </c:spPr>
          <c:marker>
            <c:symbol val="none"/>
          </c:marker>
          <c:cat>
            <c:numRef>
              <c:f>pivot!$K$25:$K$36</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pivot!$P$25:$P$36</c:f>
              <c:numCache>
                <c:formatCode>#,##0</c:formatCode>
                <c:ptCount val="12"/>
                <c:pt idx="0">
                  <c:v>3973</c:v>
                </c:pt>
                <c:pt idx="1">
                  <c:v>3269</c:v>
                </c:pt>
                <c:pt idx="2">
                  <c:v>3332</c:v>
                </c:pt>
                <c:pt idx="3">
                  <c:v>3088</c:v>
                </c:pt>
                <c:pt idx="4">
                  <c:v>361</c:v>
                </c:pt>
                <c:pt idx="5">
                  <c:v>2155</c:v>
                </c:pt>
                <c:pt idx="6">
                  <c:v>2244</c:v>
                </c:pt>
                <c:pt idx="7">
                  <c:v>1950</c:v>
                </c:pt>
                <c:pt idx="8">
                  <c:v>516</c:v>
                </c:pt>
                <c:pt idx="10">
                  <c:v>3264</c:v>
                </c:pt>
                <c:pt idx="11">
                  <c:v>2841</c:v>
                </c:pt>
              </c:numCache>
            </c:numRef>
          </c:val>
          <c:smooth val="0"/>
          <c:extLst>
            <c:ext xmlns:c16="http://schemas.microsoft.com/office/drawing/2014/chart" uri="{C3380CC4-5D6E-409C-BE32-E72D297353CC}">
              <c16:uniqueId val="{00000001-DBEA-44C8-9D8B-024C799D4A5F}"/>
            </c:ext>
          </c:extLst>
        </c:ser>
        <c:ser>
          <c:idx val="3"/>
          <c:order val="2"/>
          <c:tx>
            <c:strRef>
              <c:f>pivot!$R$5</c:f>
              <c:strCache>
                <c:ptCount val="1"/>
                <c:pt idx="0">
                  <c:v>2018 Electric Buses</c:v>
                </c:pt>
              </c:strCache>
            </c:strRef>
          </c:tx>
          <c:spPr>
            <a:ln w="28575" cap="rnd">
              <a:solidFill>
                <a:schemeClr val="accent6">
                  <a:lumMod val="60000"/>
                </a:schemeClr>
              </a:solidFill>
              <a:round/>
            </a:ln>
            <a:effectLst/>
          </c:spPr>
          <c:marker>
            <c:symbol val="none"/>
          </c:marker>
          <c:cat>
            <c:numRef>
              <c:f>pivot!$K$25:$K$36</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pivot!$R$25:$R$36</c:f>
              <c:numCache>
                <c:formatCode>#,##0</c:formatCode>
                <c:ptCount val="12"/>
                <c:pt idx="0">
                  <c:v>1330</c:v>
                </c:pt>
                <c:pt idx="1">
                  <c:v>2330</c:v>
                </c:pt>
                <c:pt idx="2">
                  <c:v>1971</c:v>
                </c:pt>
                <c:pt idx="3">
                  <c:v>2559</c:v>
                </c:pt>
                <c:pt idx="4">
                  <c:v>397</c:v>
                </c:pt>
                <c:pt idx="5">
                  <c:v>1681</c:v>
                </c:pt>
                <c:pt idx="6">
                  <c:v>3241</c:v>
                </c:pt>
                <c:pt idx="7">
                  <c:v>2374</c:v>
                </c:pt>
                <c:pt idx="8">
                  <c:v>1003</c:v>
                </c:pt>
                <c:pt idx="10">
                  <c:v>7734</c:v>
                </c:pt>
                <c:pt idx="11">
                  <c:v>6964</c:v>
                </c:pt>
              </c:numCache>
            </c:numRef>
          </c:val>
          <c:smooth val="0"/>
          <c:extLst>
            <c:ext xmlns:c16="http://schemas.microsoft.com/office/drawing/2014/chart" uri="{C3380CC4-5D6E-409C-BE32-E72D297353CC}">
              <c16:uniqueId val="{00000002-DBEA-44C8-9D8B-024C799D4A5F}"/>
            </c:ext>
          </c:extLst>
        </c:ser>
        <c:dLbls>
          <c:showLegendKey val="0"/>
          <c:showVal val="0"/>
          <c:showCatName val="0"/>
          <c:showSerName val="0"/>
          <c:showPercent val="0"/>
          <c:showBubbleSize val="0"/>
        </c:dLbls>
        <c:smooth val="0"/>
        <c:axId val="51825103"/>
        <c:axId val="51824687"/>
      </c:lineChart>
      <c:dateAx>
        <c:axId val="5182510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4687"/>
        <c:crosses val="autoZero"/>
        <c:auto val="1"/>
        <c:lblOffset val="100"/>
        <c:baseTimeUnit val="months"/>
      </c:dateAx>
      <c:valAx>
        <c:axId val="518246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51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Miles Between</a:t>
            </a:r>
            <a:r>
              <a:rPr lang="en-US" baseline="0"/>
              <a:t> Roadcalls for Each Fleet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pivot!$O$5</c:f>
              <c:strCache>
                <c:ptCount val="1"/>
                <c:pt idx="0">
                  <c:v>2014 Diesel Buses</c:v>
                </c:pt>
              </c:strCache>
            </c:strRef>
          </c:tx>
          <c:spPr>
            <a:ln w="28575" cap="rnd">
              <a:solidFill>
                <a:schemeClr val="accent5"/>
              </a:solidFill>
              <a:round/>
            </a:ln>
            <a:effectLst/>
          </c:spPr>
          <c:marker>
            <c:symbol val="none"/>
          </c:marker>
          <c:cat>
            <c:numRef>
              <c:f>pivot!$K$25:$K$36</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pivot!$O$25:$O$36</c:f>
              <c:numCache>
                <c:formatCode>#,##0</c:formatCode>
                <c:ptCount val="12"/>
                <c:pt idx="0">
                  <c:v>13301</c:v>
                </c:pt>
                <c:pt idx="1">
                  <c:v>14223</c:v>
                </c:pt>
                <c:pt idx="2">
                  <c:v>14284</c:v>
                </c:pt>
                <c:pt idx="3">
                  <c:v>14504</c:v>
                </c:pt>
                <c:pt idx="4">
                  <c:v>17110</c:v>
                </c:pt>
                <c:pt idx="5">
                  <c:v>11959</c:v>
                </c:pt>
                <c:pt idx="6">
                  <c:v>12933</c:v>
                </c:pt>
                <c:pt idx="7">
                  <c:v>15102</c:v>
                </c:pt>
                <c:pt idx="8">
                  <c:v>14997</c:v>
                </c:pt>
                <c:pt idx="9">
                  <c:v>11579</c:v>
                </c:pt>
                <c:pt idx="10">
                  <c:v>15147</c:v>
                </c:pt>
                <c:pt idx="11">
                  <c:v>12108</c:v>
                </c:pt>
              </c:numCache>
            </c:numRef>
          </c:val>
          <c:smooth val="0"/>
          <c:extLst>
            <c:ext xmlns:c16="http://schemas.microsoft.com/office/drawing/2014/chart" uri="{C3380CC4-5D6E-409C-BE32-E72D297353CC}">
              <c16:uniqueId val="{00000000-B591-4039-9800-27F018881A53}"/>
            </c:ext>
          </c:extLst>
        </c:ser>
        <c:ser>
          <c:idx val="2"/>
          <c:order val="1"/>
          <c:tx>
            <c:strRef>
              <c:f>pivot!$Q$5</c:f>
              <c:strCache>
                <c:ptCount val="1"/>
                <c:pt idx="0">
                  <c:v>2016 Electric Trolleys</c:v>
                </c:pt>
              </c:strCache>
            </c:strRef>
          </c:tx>
          <c:spPr>
            <a:ln w="28575" cap="rnd">
              <a:solidFill>
                <a:schemeClr val="accent4"/>
              </a:solidFill>
              <a:round/>
            </a:ln>
            <a:effectLst/>
          </c:spPr>
          <c:marker>
            <c:symbol val="none"/>
          </c:marker>
          <c:cat>
            <c:numRef>
              <c:f>pivot!$K$25:$K$36</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pivot!$Q$25:$Q$36</c:f>
              <c:numCache>
                <c:formatCode>#,##0</c:formatCode>
                <c:ptCount val="12"/>
                <c:pt idx="0">
                  <c:v>3973</c:v>
                </c:pt>
                <c:pt idx="1">
                  <c:v>3269</c:v>
                </c:pt>
                <c:pt idx="2">
                  <c:v>1666</c:v>
                </c:pt>
                <c:pt idx="3">
                  <c:v>3088</c:v>
                </c:pt>
                <c:pt idx="4">
                  <c:v>361</c:v>
                </c:pt>
                <c:pt idx="5">
                  <c:v>1078</c:v>
                </c:pt>
                <c:pt idx="6">
                  <c:v>1122</c:v>
                </c:pt>
                <c:pt idx="7">
                  <c:v>1950</c:v>
                </c:pt>
                <c:pt idx="8">
                  <c:v>516</c:v>
                </c:pt>
                <c:pt idx="10">
                  <c:v>1812</c:v>
                </c:pt>
                <c:pt idx="11">
                  <c:v>2841</c:v>
                </c:pt>
              </c:numCache>
            </c:numRef>
          </c:val>
          <c:smooth val="0"/>
          <c:extLst>
            <c:ext xmlns:c16="http://schemas.microsoft.com/office/drawing/2014/chart" uri="{C3380CC4-5D6E-409C-BE32-E72D297353CC}">
              <c16:uniqueId val="{00000001-B591-4039-9800-27F018881A53}"/>
            </c:ext>
          </c:extLst>
        </c:ser>
        <c:ser>
          <c:idx val="3"/>
          <c:order val="2"/>
          <c:tx>
            <c:strRef>
              <c:f>pivot!$S$5</c:f>
              <c:strCache>
                <c:ptCount val="1"/>
                <c:pt idx="0">
                  <c:v>2018 Electric Buses</c:v>
                </c:pt>
              </c:strCache>
            </c:strRef>
          </c:tx>
          <c:spPr>
            <a:ln w="28575" cap="rnd">
              <a:solidFill>
                <a:schemeClr val="accent6">
                  <a:lumMod val="60000"/>
                </a:schemeClr>
              </a:solidFill>
              <a:round/>
            </a:ln>
            <a:effectLst/>
          </c:spPr>
          <c:marker>
            <c:symbol val="none"/>
          </c:marker>
          <c:cat>
            <c:numRef>
              <c:f>pivot!$K$25:$K$36</c:f>
              <c:numCache>
                <c:formatCode>mmm\-yy</c:formatCode>
                <c:ptCount val="12"/>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numCache>
            </c:numRef>
          </c:cat>
          <c:val>
            <c:numRef>
              <c:f>pivot!$S$25:$S$36</c:f>
              <c:numCache>
                <c:formatCode>#,##0</c:formatCode>
                <c:ptCount val="12"/>
                <c:pt idx="0">
                  <c:v>1330</c:v>
                </c:pt>
                <c:pt idx="1">
                  <c:v>1165</c:v>
                </c:pt>
                <c:pt idx="2">
                  <c:v>1971</c:v>
                </c:pt>
                <c:pt idx="3">
                  <c:v>2559</c:v>
                </c:pt>
                <c:pt idx="4">
                  <c:v>397</c:v>
                </c:pt>
                <c:pt idx="5">
                  <c:v>1681</c:v>
                </c:pt>
                <c:pt idx="6">
                  <c:v>3241</c:v>
                </c:pt>
                <c:pt idx="7">
                  <c:v>2374</c:v>
                </c:pt>
                <c:pt idx="8">
                  <c:v>1003</c:v>
                </c:pt>
                <c:pt idx="10">
                  <c:v>3867</c:v>
                </c:pt>
                <c:pt idx="11">
                  <c:v>6964</c:v>
                </c:pt>
              </c:numCache>
            </c:numRef>
          </c:val>
          <c:smooth val="0"/>
          <c:extLst>
            <c:ext xmlns:c16="http://schemas.microsoft.com/office/drawing/2014/chart" uri="{C3380CC4-5D6E-409C-BE32-E72D297353CC}">
              <c16:uniqueId val="{00000002-B591-4039-9800-27F018881A53}"/>
            </c:ext>
          </c:extLst>
        </c:ser>
        <c:dLbls>
          <c:showLegendKey val="0"/>
          <c:showVal val="0"/>
          <c:showCatName val="0"/>
          <c:showSerName val="0"/>
          <c:showPercent val="0"/>
          <c:showBubbleSize val="0"/>
        </c:dLbls>
        <c:smooth val="0"/>
        <c:axId val="57308783"/>
        <c:axId val="57329999"/>
      </c:lineChart>
      <c:dateAx>
        <c:axId val="5730878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29999"/>
        <c:crosses val="autoZero"/>
        <c:auto val="1"/>
        <c:lblOffset val="100"/>
        <c:baseTimeUnit val="months"/>
      </c:dateAx>
      <c:valAx>
        <c:axId val="5732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3087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PGE Electricity Costs at CCCTA Facility and Walnut Creek BART</a:t>
            </a:r>
            <a:endParaRPr lang="en-US"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Facility</c:v>
          </c:tx>
          <c:spPr>
            <a:ln w="28575" cap="rnd">
              <a:solidFill>
                <a:schemeClr val="accent1"/>
              </a:solidFill>
              <a:round/>
            </a:ln>
            <a:effectLst/>
          </c:spPr>
          <c:marker>
            <c:symbol val="none"/>
          </c:marker>
          <c:cat>
            <c:numRef>
              <c:f>Sheet1!$B$17:$B$28</c:f>
              <c:numCache>
                <c:formatCode>m/d/yyyy</c:formatCode>
                <c:ptCount val="12"/>
                <c:pt idx="0">
                  <c:v>43284</c:v>
                </c:pt>
                <c:pt idx="1">
                  <c:v>43314</c:v>
                </c:pt>
                <c:pt idx="2">
                  <c:v>43347</c:v>
                </c:pt>
                <c:pt idx="3">
                  <c:v>43376</c:v>
                </c:pt>
                <c:pt idx="4">
                  <c:v>43405</c:v>
                </c:pt>
                <c:pt idx="5">
                  <c:v>43439</c:v>
                </c:pt>
                <c:pt idx="6">
                  <c:v>43469</c:v>
                </c:pt>
                <c:pt idx="7">
                  <c:v>43500</c:v>
                </c:pt>
                <c:pt idx="8">
                  <c:v>43530</c:v>
                </c:pt>
                <c:pt idx="9">
                  <c:v>43559</c:v>
                </c:pt>
                <c:pt idx="10">
                  <c:v>43591</c:v>
                </c:pt>
                <c:pt idx="11">
                  <c:v>43621</c:v>
                </c:pt>
              </c:numCache>
            </c:numRef>
          </c:cat>
          <c:val>
            <c:numRef>
              <c:f>Sheet1!$D$17:$D$28</c:f>
              <c:numCache>
                <c:formatCode>"$"#,##0.00;[Red]"$"#,##0.00</c:formatCode>
                <c:ptCount val="12"/>
                <c:pt idx="0">
                  <c:v>1040.7</c:v>
                </c:pt>
                <c:pt idx="1">
                  <c:v>980.54</c:v>
                </c:pt>
                <c:pt idx="2">
                  <c:v>1099.52</c:v>
                </c:pt>
                <c:pt idx="3">
                  <c:v>855.31</c:v>
                </c:pt>
                <c:pt idx="4">
                  <c:v>897.06</c:v>
                </c:pt>
                <c:pt idx="5">
                  <c:v>461.32</c:v>
                </c:pt>
                <c:pt idx="6">
                  <c:v>566.04999999999995</c:v>
                </c:pt>
                <c:pt idx="7">
                  <c:v>777.83</c:v>
                </c:pt>
                <c:pt idx="8">
                  <c:v>651.88</c:v>
                </c:pt>
                <c:pt idx="9">
                  <c:v>459.02</c:v>
                </c:pt>
                <c:pt idx="10">
                  <c:v>272.60000000000002</c:v>
                </c:pt>
                <c:pt idx="11">
                  <c:v>1391.6</c:v>
                </c:pt>
              </c:numCache>
            </c:numRef>
          </c:val>
          <c:smooth val="0"/>
          <c:extLst>
            <c:ext xmlns:c16="http://schemas.microsoft.com/office/drawing/2014/chart" uri="{C3380CC4-5D6E-409C-BE32-E72D297353CC}">
              <c16:uniqueId val="{00000000-139B-44F1-8234-DA99E7B42DEA}"/>
            </c:ext>
          </c:extLst>
        </c:ser>
        <c:ser>
          <c:idx val="1"/>
          <c:order val="1"/>
          <c:tx>
            <c:v>BART</c:v>
          </c:tx>
          <c:spPr>
            <a:ln w="28575" cap="rnd">
              <a:solidFill>
                <a:schemeClr val="accent2"/>
              </a:solidFill>
              <a:round/>
            </a:ln>
            <a:effectLst/>
          </c:spPr>
          <c:marker>
            <c:symbol val="none"/>
          </c:marker>
          <c:val>
            <c:numRef>
              <c:f>Sheet1!$D$52:$D$63</c:f>
              <c:numCache>
                <c:formatCode>"$"#,##0.00_);\("$"#,##0.00\)</c:formatCode>
                <c:ptCount val="12"/>
                <c:pt idx="0">
                  <c:v>3487.34</c:v>
                </c:pt>
                <c:pt idx="1">
                  <c:v>3639.06</c:v>
                </c:pt>
                <c:pt idx="2">
                  <c:v>3534.14</c:v>
                </c:pt>
                <c:pt idx="3">
                  <c:v>3451.63</c:v>
                </c:pt>
                <c:pt idx="4">
                  <c:v>2207.79</c:v>
                </c:pt>
                <c:pt idx="5">
                  <c:v>58.74</c:v>
                </c:pt>
                <c:pt idx="6">
                  <c:v>2429.96</c:v>
                </c:pt>
                <c:pt idx="7">
                  <c:v>2267.31</c:v>
                </c:pt>
                <c:pt idx="8">
                  <c:v>2293.79</c:v>
                </c:pt>
                <c:pt idx="9">
                  <c:v>22.54</c:v>
                </c:pt>
                <c:pt idx="10">
                  <c:v>0</c:v>
                </c:pt>
                <c:pt idx="11">
                  <c:v>5284.79</c:v>
                </c:pt>
              </c:numCache>
            </c:numRef>
          </c:val>
          <c:smooth val="0"/>
          <c:extLst>
            <c:ext xmlns:c16="http://schemas.microsoft.com/office/drawing/2014/chart" uri="{C3380CC4-5D6E-409C-BE32-E72D297353CC}">
              <c16:uniqueId val="{00000001-139B-44F1-8234-DA99E7B42DEA}"/>
            </c:ext>
          </c:extLst>
        </c:ser>
        <c:dLbls>
          <c:showLegendKey val="0"/>
          <c:showVal val="0"/>
          <c:showCatName val="0"/>
          <c:showSerName val="0"/>
          <c:showPercent val="0"/>
          <c:showBubbleSize val="0"/>
        </c:dLbls>
        <c:smooth val="0"/>
        <c:axId val="491029264"/>
        <c:axId val="491029680"/>
      </c:lineChart>
      <c:dateAx>
        <c:axId val="49102926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029680"/>
        <c:crosses val="autoZero"/>
        <c:auto val="0"/>
        <c:lblOffset val="100"/>
        <c:baseTimeUnit val="months"/>
      </c:dateAx>
      <c:valAx>
        <c:axId val="49102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PG&amp;E Costs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029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Carver</dc:creator>
  <cp:lastModifiedBy>Ruby Horta</cp:lastModifiedBy>
  <cp:revision>4</cp:revision>
  <cp:lastPrinted>2019-07-24T18:14:00Z</cp:lastPrinted>
  <dcterms:created xsi:type="dcterms:W3CDTF">2019-08-02T20:48:00Z</dcterms:created>
  <dcterms:modified xsi:type="dcterms:W3CDTF">2019-08-02T20:53:00Z</dcterms:modified>
</cp:coreProperties>
</file>